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172531">
        <w:rPr>
          <w:rStyle w:val="af5"/>
          <w:sz w:val="28"/>
        </w:rPr>
        <w:t>ХИМИЯ</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172531" w:rsidRPr="0082776F" w:rsidTr="00172531">
        <w:tc>
          <w:tcPr>
            <w:tcW w:w="676" w:type="dxa"/>
            <w:vAlign w:val="center"/>
          </w:tcPr>
          <w:p w:rsidR="00172531" w:rsidRPr="0082776F" w:rsidRDefault="00172531"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72531" w:rsidRPr="0082776F" w:rsidRDefault="00172531"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172531" w:rsidRPr="00931BA3" w:rsidRDefault="00172531" w:rsidP="00172531">
            <w:pPr>
              <w:jc w:val="center"/>
            </w:pPr>
            <w:r>
              <w:t>7</w:t>
            </w:r>
          </w:p>
        </w:tc>
        <w:tc>
          <w:tcPr>
            <w:tcW w:w="1378" w:type="dxa"/>
            <w:vAlign w:val="center"/>
          </w:tcPr>
          <w:p w:rsidR="00172531" w:rsidRPr="00931BA3" w:rsidRDefault="00172531" w:rsidP="00172531">
            <w:pPr>
              <w:jc w:val="center"/>
            </w:pPr>
            <w:r>
              <w:t>4,8%</w:t>
            </w:r>
          </w:p>
        </w:tc>
        <w:tc>
          <w:tcPr>
            <w:tcW w:w="1377" w:type="dxa"/>
            <w:vAlign w:val="center"/>
          </w:tcPr>
          <w:p w:rsidR="00172531" w:rsidRPr="00172531" w:rsidRDefault="00172531" w:rsidP="00172531">
            <w:pPr>
              <w:jc w:val="center"/>
            </w:pPr>
            <w:r w:rsidRPr="00172531">
              <w:t>1</w:t>
            </w:r>
          </w:p>
        </w:tc>
        <w:tc>
          <w:tcPr>
            <w:tcW w:w="1378" w:type="dxa"/>
            <w:vAlign w:val="center"/>
          </w:tcPr>
          <w:p w:rsidR="00172531" w:rsidRPr="00172531" w:rsidRDefault="00172531" w:rsidP="00172531">
            <w:pPr>
              <w:jc w:val="center"/>
            </w:pPr>
            <w:r w:rsidRPr="00172531">
              <w:t>0,6%</w:t>
            </w:r>
          </w:p>
        </w:tc>
      </w:tr>
      <w:tr w:rsidR="00172531" w:rsidRPr="0082776F" w:rsidTr="00172531">
        <w:tc>
          <w:tcPr>
            <w:tcW w:w="676" w:type="dxa"/>
            <w:vAlign w:val="center"/>
          </w:tcPr>
          <w:p w:rsidR="00172531" w:rsidRPr="0082776F" w:rsidRDefault="00172531"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72531" w:rsidRPr="0082776F" w:rsidRDefault="00172531"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172531" w:rsidRPr="00931BA3" w:rsidRDefault="00172531" w:rsidP="00172531">
            <w:pPr>
              <w:jc w:val="center"/>
            </w:pPr>
            <w:r>
              <w:t>11</w:t>
            </w:r>
          </w:p>
        </w:tc>
        <w:tc>
          <w:tcPr>
            <w:tcW w:w="1378" w:type="dxa"/>
            <w:vAlign w:val="center"/>
          </w:tcPr>
          <w:p w:rsidR="00172531" w:rsidRPr="00931BA3" w:rsidRDefault="00172531" w:rsidP="00172531">
            <w:pPr>
              <w:jc w:val="center"/>
            </w:pPr>
            <w:r>
              <w:t>7,5%</w:t>
            </w:r>
          </w:p>
        </w:tc>
        <w:tc>
          <w:tcPr>
            <w:tcW w:w="1377" w:type="dxa"/>
            <w:vAlign w:val="center"/>
          </w:tcPr>
          <w:p w:rsidR="00172531" w:rsidRPr="00172531" w:rsidRDefault="00172531" w:rsidP="00172531">
            <w:pPr>
              <w:jc w:val="center"/>
            </w:pPr>
            <w:r w:rsidRPr="00172531">
              <w:t>8</w:t>
            </w:r>
          </w:p>
        </w:tc>
        <w:tc>
          <w:tcPr>
            <w:tcW w:w="1378" w:type="dxa"/>
            <w:vAlign w:val="center"/>
          </w:tcPr>
          <w:p w:rsidR="00172531" w:rsidRPr="00172531" w:rsidRDefault="00172531" w:rsidP="00172531">
            <w:pPr>
              <w:jc w:val="center"/>
            </w:pPr>
            <w:r w:rsidRPr="00172531">
              <w:t>5,0%</w:t>
            </w:r>
          </w:p>
        </w:tc>
      </w:tr>
      <w:tr w:rsidR="00172531" w:rsidRPr="0082776F" w:rsidTr="00172531">
        <w:tc>
          <w:tcPr>
            <w:tcW w:w="676" w:type="dxa"/>
            <w:vAlign w:val="center"/>
          </w:tcPr>
          <w:p w:rsidR="00172531" w:rsidRPr="0082776F" w:rsidRDefault="00172531"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72531" w:rsidRPr="0082776F" w:rsidRDefault="00172531" w:rsidP="003B63D9">
            <w:pPr>
              <w:tabs>
                <w:tab w:val="left" w:pos="10320"/>
              </w:tabs>
            </w:pPr>
            <w:r w:rsidRPr="0082776F">
              <w:t>Обучающиеся СОШ</w:t>
            </w:r>
          </w:p>
        </w:tc>
        <w:tc>
          <w:tcPr>
            <w:tcW w:w="1377" w:type="dxa"/>
            <w:vAlign w:val="center"/>
          </w:tcPr>
          <w:p w:rsidR="00172531" w:rsidRPr="00931BA3" w:rsidRDefault="00172531" w:rsidP="00172531">
            <w:pPr>
              <w:jc w:val="center"/>
            </w:pPr>
            <w:r>
              <w:t>97</w:t>
            </w:r>
          </w:p>
        </w:tc>
        <w:tc>
          <w:tcPr>
            <w:tcW w:w="1378" w:type="dxa"/>
            <w:vAlign w:val="center"/>
          </w:tcPr>
          <w:p w:rsidR="00172531" w:rsidRPr="00931BA3" w:rsidRDefault="00172531" w:rsidP="00172531">
            <w:pPr>
              <w:jc w:val="center"/>
            </w:pPr>
            <w:r>
              <w:t>66,0%</w:t>
            </w:r>
          </w:p>
        </w:tc>
        <w:tc>
          <w:tcPr>
            <w:tcW w:w="1377" w:type="dxa"/>
            <w:vAlign w:val="center"/>
          </w:tcPr>
          <w:p w:rsidR="00172531" w:rsidRPr="00172531" w:rsidRDefault="00172531" w:rsidP="00172531">
            <w:pPr>
              <w:jc w:val="center"/>
            </w:pPr>
            <w:r w:rsidRPr="00172531">
              <w:t>110</w:t>
            </w:r>
          </w:p>
        </w:tc>
        <w:tc>
          <w:tcPr>
            <w:tcW w:w="1378" w:type="dxa"/>
            <w:vAlign w:val="center"/>
          </w:tcPr>
          <w:p w:rsidR="00172531" w:rsidRPr="00172531" w:rsidRDefault="00172531" w:rsidP="00172531">
            <w:pPr>
              <w:jc w:val="center"/>
            </w:pPr>
            <w:r w:rsidRPr="00172531">
              <w:t>69,2%</w:t>
            </w:r>
          </w:p>
        </w:tc>
      </w:tr>
      <w:tr w:rsidR="00172531" w:rsidRPr="0082776F" w:rsidTr="00172531">
        <w:tc>
          <w:tcPr>
            <w:tcW w:w="676" w:type="dxa"/>
            <w:vAlign w:val="center"/>
          </w:tcPr>
          <w:p w:rsidR="00172531" w:rsidRPr="0082776F" w:rsidRDefault="00172531"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72531" w:rsidRPr="0082776F" w:rsidRDefault="00172531" w:rsidP="000975FD">
            <w:pPr>
              <w:tabs>
                <w:tab w:val="left" w:pos="2010"/>
              </w:tabs>
              <w:jc w:val="both"/>
            </w:pPr>
            <w:r>
              <w:t>Обучающиеся О</w:t>
            </w:r>
            <w:r w:rsidRPr="0082776F">
              <w:t>ОШ</w:t>
            </w:r>
            <w:r w:rsidRPr="000975FD">
              <w:t xml:space="preserve"> </w:t>
            </w:r>
          </w:p>
        </w:tc>
        <w:tc>
          <w:tcPr>
            <w:tcW w:w="1377" w:type="dxa"/>
            <w:vAlign w:val="center"/>
          </w:tcPr>
          <w:p w:rsidR="00172531" w:rsidRPr="00A95AAE" w:rsidRDefault="00172531" w:rsidP="00172531">
            <w:pPr>
              <w:jc w:val="center"/>
            </w:pPr>
            <w:r>
              <w:t>32</w:t>
            </w:r>
          </w:p>
        </w:tc>
        <w:tc>
          <w:tcPr>
            <w:tcW w:w="1378" w:type="dxa"/>
            <w:vAlign w:val="center"/>
          </w:tcPr>
          <w:p w:rsidR="00172531" w:rsidRPr="00A95AAE" w:rsidRDefault="00172531" w:rsidP="00172531">
            <w:pPr>
              <w:jc w:val="center"/>
            </w:pPr>
            <w:r>
              <w:t>21,8%</w:t>
            </w:r>
          </w:p>
        </w:tc>
        <w:tc>
          <w:tcPr>
            <w:tcW w:w="1377" w:type="dxa"/>
            <w:vAlign w:val="center"/>
          </w:tcPr>
          <w:p w:rsidR="00172531" w:rsidRPr="00172531" w:rsidRDefault="00172531" w:rsidP="00172531">
            <w:pPr>
              <w:jc w:val="center"/>
            </w:pPr>
            <w:r w:rsidRPr="00172531">
              <w:t>40</w:t>
            </w:r>
          </w:p>
        </w:tc>
        <w:tc>
          <w:tcPr>
            <w:tcW w:w="1378" w:type="dxa"/>
            <w:vAlign w:val="center"/>
          </w:tcPr>
          <w:p w:rsidR="00172531" w:rsidRPr="00172531" w:rsidRDefault="00172531" w:rsidP="00172531">
            <w:pPr>
              <w:jc w:val="center"/>
            </w:pPr>
            <w:r w:rsidRPr="00172531">
              <w:t>25,2%</w:t>
            </w:r>
          </w:p>
        </w:tc>
      </w:tr>
    </w:tbl>
    <w:p w:rsidR="003602B9" w:rsidRDefault="003602B9" w:rsidP="00EB7C8C">
      <w:pPr>
        <w:jc w:val="both"/>
        <w:rPr>
          <w:b/>
        </w:rPr>
      </w:pPr>
      <w:bookmarkStart w:id="3" w:name="_Toc424490577"/>
    </w:p>
    <w:p w:rsidR="005060D9" w:rsidRPr="002178E5" w:rsidRDefault="0079316A" w:rsidP="00E556F3">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E556F3" w:rsidRPr="00172531" w:rsidRDefault="00172531" w:rsidP="00172531">
      <w:pPr>
        <w:spacing w:line="360" w:lineRule="auto"/>
        <w:jc w:val="both"/>
        <w:rPr>
          <w:b/>
          <w:bCs/>
          <w:sz w:val="28"/>
          <w:szCs w:val="28"/>
        </w:rPr>
      </w:pPr>
      <w:r>
        <w:rPr>
          <w:szCs w:val="28"/>
        </w:rPr>
        <w:t>К</w:t>
      </w:r>
      <w:r w:rsidRPr="00172531">
        <w:rPr>
          <w:szCs w:val="28"/>
        </w:rPr>
        <w:t xml:space="preserve">оличество участников по предмету </w:t>
      </w:r>
      <w:r>
        <w:rPr>
          <w:szCs w:val="28"/>
        </w:rPr>
        <w:t>в процентном соотношении увеличилось незначительно, на 0,3%</w:t>
      </w:r>
      <w:r w:rsidRPr="00172531">
        <w:rPr>
          <w:szCs w:val="28"/>
        </w:rPr>
        <w:t>. В сравнении с 20</w:t>
      </w:r>
      <w:r>
        <w:rPr>
          <w:szCs w:val="28"/>
        </w:rPr>
        <w:t>22</w:t>
      </w:r>
      <w:r w:rsidRPr="00172531">
        <w:rPr>
          <w:szCs w:val="28"/>
        </w:rPr>
        <w:t xml:space="preserve"> год</w:t>
      </w:r>
      <w:r>
        <w:rPr>
          <w:szCs w:val="28"/>
        </w:rPr>
        <w:t>ом</w:t>
      </w:r>
      <w:r w:rsidRPr="00172531">
        <w:rPr>
          <w:szCs w:val="28"/>
        </w:rPr>
        <w:t xml:space="preserve"> в процентном соотношении произошло увеличение по категории «</w:t>
      </w:r>
      <w:r w:rsidRPr="0082776F">
        <w:t xml:space="preserve">Обучающиеся </w:t>
      </w:r>
      <w:r w:rsidRPr="00172531">
        <w:t xml:space="preserve">СОШ» на </w:t>
      </w:r>
      <w:r>
        <w:t>3</w:t>
      </w:r>
      <w:r w:rsidRPr="00172531">
        <w:t>,</w:t>
      </w:r>
      <w:r>
        <w:t>2</w:t>
      </w:r>
      <w:r w:rsidRPr="00172531">
        <w:t xml:space="preserve">%, на </w:t>
      </w:r>
      <w:r>
        <w:t>3</w:t>
      </w:r>
      <w:r w:rsidRPr="00172531">
        <w:t>,</w:t>
      </w:r>
      <w:r>
        <w:t>4</w:t>
      </w:r>
      <w:r w:rsidRPr="00172531">
        <w:t xml:space="preserve">% увеличилось количество </w:t>
      </w:r>
      <w:r>
        <w:t>п</w:t>
      </w:r>
      <w:r w:rsidRPr="00172531">
        <w:t>о категории «</w:t>
      </w:r>
      <w:r w:rsidRPr="0082776F">
        <w:t xml:space="preserve">Обучающиеся </w:t>
      </w:r>
      <w:r w:rsidRPr="00172531">
        <w:t xml:space="preserve">ООШ» выпускников гимназии. В </w:t>
      </w:r>
      <w:r>
        <w:t>категории «</w:t>
      </w:r>
      <w:r w:rsidRPr="0082776F">
        <w:t xml:space="preserve">Обучающиеся </w:t>
      </w:r>
      <w:r>
        <w:t xml:space="preserve">гимназий» </w:t>
      </w:r>
      <w:r w:rsidRPr="00172531">
        <w:t xml:space="preserve">показатель снизился на </w:t>
      </w:r>
      <w:r>
        <w:t>4</w:t>
      </w:r>
      <w:r w:rsidRPr="00172531">
        <w:t>,</w:t>
      </w:r>
      <w:r>
        <w:t>2%, также и в</w:t>
      </w:r>
      <w:r w:rsidRPr="00172531">
        <w:t xml:space="preserve"> категории «Выпускников школ с углубленным изучением предметов» процент участников снизился на </w:t>
      </w:r>
      <w:r>
        <w:t>2</w:t>
      </w:r>
      <w:r w:rsidRPr="00172531">
        <w:t>,</w:t>
      </w:r>
      <w:r>
        <w:t>5</w:t>
      </w:r>
      <w:r w:rsidRPr="00172531">
        <w:t xml:space="preserve">%. </w:t>
      </w:r>
      <w:r w:rsidR="00C55616">
        <w:rPr>
          <w:szCs w:val="28"/>
        </w:rPr>
        <w:t>На протяжении двух лет в Поволжском управлении</w:t>
      </w:r>
      <w:r w:rsidRPr="00172531">
        <w:rPr>
          <w:szCs w:val="28"/>
        </w:rPr>
        <w:t xml:space="preserve"> нет участников по предмету химия, относящихся к категории «</w:t>
      </w:r>
      <w:r w:rsidRPr="00172531">
        <w:t>Участники  с ограни</w:t>
      </w:r>
      <w:r w:rsidR="00C55616">
        <w:t>ченными возможностями здоровья</w:t>
      </w:r>
      <w:r w:rsidRPr="00172531">
        <w:rPr>
          <w:szCs w:val="28"/>
        </w:rPr>
        <w:t>.</w:t>
      </w:r>
    </w:p>
    <w:p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2178E5">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0E0643" w:rsidRDefault="00C55616" w:rsidP="001F6A0D">
      <w:pPr>
        <w:spacing w:after="200" w:line="276" w:lineRule="auto"/>
        <w:jc w:val="center"/>
        <w:rPr>
          <w:b/>
        </w:rPr>
      </w:pPr>
      <w:r>
        <w:rPr>
          <w:b/>
          <w:noProof/>
        </w:rPr>
        <w:lastRenderedPageBreak/>
        <w:drawing>
          <wp:inline distT="0" distB="0" distL="0" distR="0">
            <wp:extent cx="5681980" cy="2926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1980" cy="2926080"/>
                    </a:xfrm>
                    <a:prstGeom prst="rect">
                      <a:avLst/>
                    </a:prstGeom>
                    <a:noFill/>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C55616" w:rsidRPr="00931BA3" w:rsidTr="0082776F">
        <w:trPr>
          <w:trHeight w:val="349"/>
        </w:trPr>
        <w:tc>
          <w:tcPr>
            <w:tcW w:w="2410" w:type="dxa"/>
            <w:vAlign w:val="center"/>
          </w:tcPr>
          <w:p w:rsidR="00C55616" w:rsidRPr="00931BA3" w:rsidRDefault="00C55616" w:rsidP="000E0643">
            <w:pPr>
              <w:contextualSpacing/>
              <w:jc w:val="center"/>
              <w:rPr>
                <w:rFonts w:eastAsia="MS Mincho"/>
              </w:rPr>
            </w:pPr>
            <w:r>
              <w:t>«2»</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0</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0,0%</w:t>
            </w:r>
          </w:p>
        </w:tc>
        <w:tc>
          <w:tcPr>
            <w:tcW w:w="1772" w:type="dxa"/>
            <w:tcBorders>
              <w:right w:val="single" w:sz="4" w:space="0" w:color="auto"/>
            </w:tcBorders>
            <w:vAlign w:val="center"/>
          </w:tcPr>
          <w:p w:rsidR="00C55616" w:rsidRPr="00C55616" w:rsidRDefault="00C55616" w:rsidP="00A969B0">
            <w:pPr>
              <w:jc w:val="center"/>
              <w:rPr>
                <w:rFonts w:eastAsia="Times New Roman"/>
                <w:bCs/>
                <w:iCs/>
              </w:rPr>
            </w:pPr>
            <w:r w:rsidRPr="00EF0D79">
              <w:rPr>
                <w:rFonts w:eastAsia="Times New Roman"/>
                <w:bCs/>
                <w:iCs/>
                <w:sz w:val="22"/>
                <w:szCs w:val="22"/>
              </w:rPr>
              <w:t>0</w:t>
            </w:r>
          </w:p>
        </w:tc>
        <w:tc>
          <w:tcPr>
            <w:tcW w:w="1772" w:type="dxa"/>
            <w:tcBorders>
              <w:left w:val="single" w:sz="4" w:space="0" w:color="auto"/>
            </w:tcBorders>
            <w:vAlign w:val="center"/>
          </w:tcPr>
          <w:p w:rsidR="00C55616" w:rsidRPr="00C55616" w:rsidRDefault="00C55616" w:rsidP="00A969B0">
            <w:pPr>
              <w:jc w:val="center"/>
              <w:rPr>
                <w:rFonts w:eastAsia="Times New Roman"/>
                <w:bCs/>
                <w:iCs/>
              </w:rPr>
            </w:pPr>
            <w:r w:rsidRPr="00EF0D79">
              <w:rPr>
                <w:rFonts w:eastAsia="Times New Roman"/>
                <w:bCs/>
                <w:iCs/>
                <w:sz w:val="22"/>
                <w:szCs w:val="22"/>
              </w:rPr>
              <w:t>0,0%</w:t>
            </w:r>
          </w:p>
        </w:tc>
      </w:tr>
      <w:tr w:rsidR="00C55616" w:rsidRPr="00931BA3" w:rsidTr="0082776F">
        <w:trPr>
          <w:trHeight w:val="338"/>
        </w:trPr>
        <w:tc>
          <w:tcPr>
            <w:tcW w:w="2410" w:type="dxa"/>
            <w:vAlign w:val="center"/>
          </w:tcPr>
          <w:p w:rsidR="00C55616" w:rsidRPr="00931BA3" w:rsidRDefault="00C55616" w:rsidP="000E0643">
            <w:pPr>
              <w:contextualSpacing/>
              <w:jc w:val="center"/>
              <w:rPr>
                <w:rFonts w:eastAsia="MS Mincho"/>
              </w:rPr>
            </w:pPr>
            <w:r>
              <w:rPr>
                <w:rFonts w:eastAsia="MS Mincho"/>
              </w:rPr>
              <w:t>«3»</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32</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21,8%</w:t>
            </w:r>
          </w:p>
        </w:tc>
        <w:tc>
          <w:tcPr>
            <w:tcW w:w="1772" w:type="dxa"/>
            <w:tcBorders>
              <w:right w:val="single" w:sz="4" w:space="0" w:color="auto"/>
            </w:tcBorders>
            <w:vAlign w:val="center"/>
          </w:tcPr>
          <w:p w:rsidR="00C55616" w:rsidRPr="00C55616" w:rsidRDefault="00C55616" w:rsidP="00A969B0">
            <w:pPr>
              <w:jc w:val="center"/>
              <w:rPr>
                <w:rFonts w:eastAsia="Times New Roman"/>
                <w:bCs/>
                <w:iCs/>
              </w:rPr>
            </w:pPr>
            <w:r w:rsidRPr="00C55616">
              <w:rPr>
                <w:rFonts w:eastAsia="Times New Roman"/>
                <w:bCs/>
                <w:iCs/>
                <w:sz w:val="22"/>
                <w:szCs w:val="22"/>
              </w:rPr>
              <w:t>31</w:t>
            </w:r>
          </w:p>
        </w:tc>
        <w:tc>
          <w:tcPr>
            <w:tcW w:w="1772" w:type="dxa"/>
            <w:tcBorders>
              <w:left w:val="single" w:sz="4" w:space="0" w:color="auto"/>
            </w:tcBorders>
            <w:vAlign w:val="center"/>
          </w:tcPr>
          <w:p w:rsidR="00C55616" w:rsidRPr="00C55616" w:rsidRDefault="00C55616" w:rsidP="00A969B0">
            <w:pPr>
              <w:jc w:val="center"/>
              <w:rPr>
                <w:rFonts w:eastAsia="Times New Roman"/>
                <w:bCs/>
                <w:iCs/>
              </w:rPr>
            </w:pPr>
            <w:r w:rsidRPr="00C55616">
              <w:rPr>
                <w:rFonts w:eastAsia="Times New Roman"/>
                <w:bCs/>
                <w:iCs/>
                <w:sz w:val="22"/>
                <w:szCs w:val="22"/>
              </w:rPr>
              <w:t>19,5%</w:t>
            </w:r>
          </w:p>
        </w:tc>
      </w:tr>
      <w:tr w:rsidR="00C55616" w:rsidRPr="00931BA3" w:rsidTr="0082776F">
        <w:trPr>
          <w:trHeight w:val="338"/>
        </w:trPr>
        <w:tc>
          <w:tcPr>
            <w:tcW w:w="2410" w:type="dxa"/>
            <w:vAlign w:val="center"/>
          </w:tcPr>
          <w:p w:rsidR="00C55616" w:rsidRPr="00931BA3" w:rsidRDefault="00C55616" w:rsidP="000E0643">
            <w:pPr>
              <w:contextualSpacing/>
              <w:jc w:val="center"/>
              <w:rPr>
                <w:rFonts w:eastAsia="MS Mincho"/>
              </w:rPr>
            </w:pPr>
            <w:r>
              <w:rPr>
                <w:rFonts w:eastAsia="MS Mincho"/>
              </w:rPr>
              <w:t>«4»</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50</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34,0%</w:t>
            </w:r>
          </w:p>
        </w:tc>
        <w:tc>
          <w:tcPr>
            <w:tcW w:w="1772" w:type="dxa"/>
            <w:tcBorders>
              <w:right w:val="single" w:sz="4" w:space="0" w:color="auto"/>
            </w:tcBorders>
            <w:vAlign w:val="center"/>
          </w:tcPr>
          <w:p w:rsidR="00C55616" w:rsidRPr="00C55616" w:rsidRDefault="00C55616">
            <w:pPr>
              <w:jc w:val="center"/>
              <w:rPr>
                <w:rFonts w:eastAsia="Times New Roman"/>
                <w:bCs/>
                <w:iCs/>
              </w:rPr>
            </w:pPr>
            <w:r w:rsidRPr="00C55616">
              <w:rPr>
                <w:rFonts w:eastAsia="Times New Roman"/>
                <w:bCs/>
                <w:iCs/>
                <w:sz w:val="22"/>
                <w:szCs w:val="22"/>
              </w:rPr>
              <w:t>68</w:t>
            </w:r>
          </w:p>
        </w:tc>
        <w:tc>
          <w:tcPr>
            <w:tcW w:w="1772" w:type="dxa"/>
            <w:tcBorders>
              <w:left w:val="single" w:sz="4" w:space="0" w:color="auto"/>
            </w:tcBorders>
            <w:vAlign w:val="center"/>
          </w:tcPr>
          <w:p w:rsidR="00C55616" w:rsidRPr="00C55616" w:rsidRDefault="00C55616">
            <w:pPr>
              <w:jc w:val="center"/>
              <w:rPr>
                <w:rFonts w:eastAsia="Times New Roman"/>
                <w:bCs/>
                <w:iCs/>
              </w:rPr>
            </w:pPr>
            <w:r w:rsidRPr="00C55616">
              <w:rPr>
                <w:rFonts w:eastAsia="Times New Roman"/>
                <w:bCs/>
                <w:iCs/>
                <w:sz w:val="22"/>
                <w:szCs w:val="22"/>
              </w:rPr>
              <w:t>42,8%</w:t>
            </w:r>
          </w:p>
        </w:tc>
      </w:tr>
      <w:tr w:rsidR="00C55616" w:rsidRPr="00931BA3" w:rsidTr="0082776F">
        <w:trPr>
          <w:trHeight w:val="338"/>
        </w:trPr>
        <w:tc>
          <w:tcPr>
            <w:tcW w:w="2410" w:type="dxa"/>
            <w:vAlign w:val="center"/>
          </w:tcPr>
          <w:p w:rsidR="00C55616" w:rsidRPr="00931BA3" w:rsidRDefault="00C55616" w:rsidP="000E0643">
            <w:pPr>
              <w:contextualSpacing/>
              <w:jc w:val="center"/>
              <w:rPr>
                <w:rFonts w:eastAsia="MS Mincho"/>
              </w:rPr>
            </w:pPr>
            <w:r>
              <w:rPr>
                <w:rFonts w:eastAsia="MS Mincho"/>
              </w:rPr>
              <w:t>«5»</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65</w:t>
            </w:r>
          </w:p>
        </w:tc>
        <w:tc>
          <w:tcPr>
            <w:tcW w:w="1772" w:type="dxa"/>
            <w:vAlign w:val="center"/>
          </w:tcPr>
          <w:p w:rsidR="00C55616" w:rsidRPr="00EF0D79" w:rsidRDefault="00C55616" w:rsidP="00A969B0">
            <w:pPr>
              <w:jc w:val="center"/>
              <w:rPr>
                <w:rFonts w:eastAsia="Times New Roman"/>
                <w:bCs/>
                <w:iCs/>
              </w:rPr>
            </w:pPr>
            <w:r w:rsidRPr="00EF0D79">
              <w:rPr>
                <w:rFonts w:eastAsia="Times New Roman"/>
                <w:bCs/>
                <w:iCs/>
                <w:sz w:val="22"/>
                <w:szCs w:val="22"/>
              </w:rPr>
              <w:t>44,2%</w:t>
            </w:r>
          </w:p>
        </w:tc>
        <w:tc>
          <w:tcPr>
            <w:tcW w:w="1772" w:type="dxa"/>
            <w:tcBorders>
              <w:right w:val="single" w:sz="4" w:space="0" w:color="auto"/>
            </w:tcBorders>
            <w:vAlign w:val="center"/>
          </w:tcPr>
          <w:p w:rsidR="00C55616" w:rsidRPr="00C55616" w:rsidRDefault="00C55616">
            <w:pPr>
              <w:jc w:val="center"/>
              <w:rPr>
                <w:rFonts w:eastAsia="Times New Roman"/>
                <w:bCs/>
                <w:iCs/>
              </w:rPr>
            </w:pPr>
            <w:r w:rsidRPr="00C55616">
              <w:rPr>
                <w:rFonts w:eastAsia="Times New Roman"/>
                <w:bCs/>
                <w:iCs/>
                <w:sz w:val="22"/>
                <w:szCs w:val="22"/>
              </w:rPr>
              <w:t>60</w:t>
            </w:r>
          </w:p>
        </w:tc>
        <w:tc>
          <w:tcPr>
            <w:tcW w:w="1772" w:type="dxa"/>
            <w:tcBorders>
              <w:left w:val="single" w:sz="4" w:space="0" w:color="auto"/>
            </w:tcBorders>
            <w:vAlign w:val="center"/>
          </w:tcPr>
          <w:p w:rsidR="00C55616" w:rsidRPr="00C55616" w:rsidRDefault="00C55616">
            <w:pPr>
              <w:jc w:val="center"/>
              <w:rPr>
                <w:rFonts w:eastAsia="Times New Roman"/>
                <w:bCs/>
                <w:iCs/>
              </w:rPr>
            </w:pPr>
            <w:r w:rsidRPr="00C55616">
              <w:rPr>
                <w:rFonts w:eastAsia="Times New Roman"/>
                <w:bCs/>
                <w:iCs/>
                <w:sz w:val="22"/>
                <w:szCs w:val="22"/>
              </w:rPr>
              <w:t>37,7%</w:t>
            </w:r>
          </w:p>
        </w:tc>
      </w:tr>
    </w:tbl>
    <w:p w:rsidR="00022E68" w:rsidRDefault="00022E68" w:rsidP="00903AC5">
      <w:pPr>
        <w:jc w:val="both"/>
        <w:rPr>
          <w:b/>
          <w:bCs/>
        </w:rPr>
      </w:pPr>
    </w:p>
    <w:p w:rsidR="00F961EF" w:rsidRDefault="00F961EF" w:rsidP="00F961EF">
      <w:pPr>
        <w:jc w:val="center"/>
        <w:rPr>
          <w:b/>
          <w:bCs/>
        </w:rPr>
      </w:pPr>
      <w:r>
        <w:rPr>
          <w:b/>
          <w:bCs/>
        </w:rPr>
        <w:t xml:space="preserve">Достижение минимального и высокого уровня подготовки выпускников </w:t>
      </w:r>
    </w:p>
    <w:p w:rsidR="00F961EF" w:rsidRDefault="00F961EF" w:rsidP="00F961EF">
      <w:pPr>
        <w:jc w:val="center"/>
        <w:rPr>
          <w:b/>
          <w:bCs/>
        </w:rPr>
      </w:pPr>
      <w:r>
        <w:rPr>
          <w:b/>
          <w:bCs/>
        </w:rPr>
        <w:t xml:space="preserve">по </w:t>
      </w:r>
      <w:r w:rsidR="00B55F6A">
        <w:rPr>
          <w:b/>
          <w:bCs/>
        </w:rPr>
        <w:t>химии</w:t>
      </w:r>
    </w:p>
    <w:p w:rsidR="00F961EF" w:rsidRDefault="00F961EF" w:rsidP="00903AC5">
      <w:pPr>
        <w:jc w:val="both"/>
        <w:rPr>
          <w:b/>
          <w:bCs/>
        </w:rPr>
      </w:pPr>
    </w:p>
    <w:tbl>
      <w:tblPr>
        <w:tblW w:w="9513" w:type="dxa"/>
        <w:tblInd w:w="93" w:type="dxa"/>
        <w:tblLook w:val="04A0"/>
      </w:tblPr>
      <w:tblGrid>
        <w:gridCol w:w="3701"/>
        <w:gridCol w:w="1984"/>
        <w:gridCol w:w="1985"/>
        <w:gridCol w:w="1843"/>
      </w:tblGrid>
      <w:tr w:rsidR="007B0276" w:rsidRPr="00C55616" w:rsidTr="00C55616">
        <w:trPr>
          <w:trHeight w:val="6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76" w:rsidRPr="00C55616" w:rsidRDefault="007B0276" w:rsidP="00C55616">
            <w:pPr>
              <w:jc w:val="center"/>
              <w:rPr>
                <w:rFonts w:eastAsia="Times New Roman"/>
                <w:b/>
                <w:bCs/>
                <w:color w:val="000000"/>
              </w:rPr>
            </w:pPr>
            <w:r w:rsidRPr="00C55616">
              <w:rPr>
                <w:rFonts w:eastAsia="Times New Roman"/>
                <w:b/>
                <w:bCs/>
                <w:color w:val="000000"/>
              </w:rPr>
              <w:t>ОО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B0276" w:rsidRPr="004B77CA" w:rsidRDefault="007B0276" w:rsidP="00135AB3">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«3» с запасом в 1-2 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B0276" w:rsidRPr="004B77CA" w:rsidRDefault="007B0276" w:rsidP="00135AB3">
            <w:pPr>
              <w:jc w:val="center"/>
              <w:rPr>
                <w:rFonts w:eastAsia="Times New Roman"/>
                <w:b/>
                <w:bCs/>
                <w:color w:val="000000"/>
                <w:sz w:val="20"/>
                <w:szCs w:val="20"/>
              </w:rPr>
            </w:pPr>
            <w:r w:rsidRPr="004B77CA">
              <w:rPr>
                <w:rFonts w:eastAsia="Times New Roman"/>
                <w:b/>
                <w:bCs/>
                <w:color w:val="000000"/>
                <w:sz w:val="20"/>
                <w:szCs w:val="20"/>
              </w:rPr>
              <w:t>Доля,</w:t>
            </w:r>
            <w:r>
              <w:rPr>
                <w:rFonts w:eastAsia="Times New Roman"/>
                <w:b/>
                <w:bCs/>
                <w:color w:val="000000"/>
                <w:sz w:val="20"/>
                <w:szCs w:val="20"/>
              </w:rPr>
              <w:t xml:space="preserve"> </w:t>
            </w:r>
            <w:r w:rsidRPr="004B77CA">
              <w:rPr>
                <w:rFonts w:eastAsia="Times New Roman"/>
                <w:b/>
                <w:bCs/>
                <w:color w:val="000000"/>
                <w:sz w:val="20"/>
                <w:szCs w:val="20"/>
              </w:rPr>
              <w:t>% получивших "5"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B0276" w:rsidRPr="004B77CA" w:rsidRDefault="007B0276" w:rsidP="00135AB3">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«5» с запасом в 1-2 б.</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 2 п.г.т. Смышляевка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пос. Самарский</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с. Яблоновый Овраг</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"ОЦ "Южный город" пос. Придорожный</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2,9%</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28,6%</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8,6%</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"ОЦ" п.г.т. Рощинский</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8,3%</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1 "ОЦ" п.г.т. Смышляевка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42,9%</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3 п.г.т. Смышляевка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25,0%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п.г.т. Петра Дубрава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66,7%</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33,3%</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 xml:space="preserve">ГБОУ СОШ </w:t>
            </w:r>
            <w:proofErr w:type="spellStart"/>
            <w:r w:rsidRPr="00C55616">
              <w:rPr>
                <w:rFonts w:eastAsia="Times New Roman"/>
                <w:color w:val="000000"/>
              </w:rPr>
              <w:t>по</w:t>
            </w:r>
            <w:proofErr w:type="gramStart"/>
            <w:r w:rsidRPr="00C55616">
              <w:rPr>
                <w:rFonts w:eastAsia="Times New Roman"/>
                <w:color w:val="000000"/>
              </w:rPr>
              <w:t>c</w:t>
            </w:r>
            <w:proofErr w:type="spellEnd"/>
            <w:proofErr w:type="gramEnd"/>
            <w:r w:rsidRPr="00C55616">
              <w:rPr>
                <w:rFonts w:eastAsia="Times New Roman"/>
                <w:color w:val="000000"/>
              </w:rPr>
              <w:t xml:space="preserve">. </w:t>
            </w:r>
            <w:proofErr w:type="spellStart"/>
            <w:r w:rsidRPr="00C55616">
              <w:rPr>
                <w:rFonts w:eastAsia="Times New Roman"/>
                <w:color w:val="000000"/>
              </w:rPr>
              <w:t>Черновский</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пос. Просвет</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lastRenderedPageBreak/>
              <w:t>ГБОУ СОШ "ОЦ" с. Дубовый Умет</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"ОЦ" с. Лопатино</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1 "ОЦ" п.г.т. Стройкерамика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с. Воскресенка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с. Курумоч</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с. Рождествено</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2E233D">
        <w:trPr>
          <w:trHeight w:val="45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b/>
                <w:bCs/>
                <w:color w:val="000000"/>
              </w:rPr>
            </w:pPr>
            <w:r w:rsidRPr="00C55616">
              <w:rPr>
                <w:rFonts w:eastAsia="Times New Roman"/>
                <w:b/>
                <w:bCs/>
                <w:color w:val="000000"/>
              </w:rPr>
              <w:t>м.р. Волжский</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1,2%</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34,5%</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6,0%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 15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33,3%</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 21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20,0%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 4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 6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70,0%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20,0%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3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42,9%</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14,3%</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5 "ОЦ"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20,0%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7 "ОЦ"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37,5%</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12,5%</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СОШ № 8 "ОЦ"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38,5%</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7,7%</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гимназия №1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C55616">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color w:val="000000"/>
              </w:rPr>
            </w:pPr>
            <w:r w:rsidRPr="00C55616">
              <w:rPr>
                <w:rFonts w:eastAsia="Times New Roman"/>
                <w:color w:val="000000"/>
              </w:rPr>
              <w:t>ГБОУ ООШ № 18 г. Новокуйбышевска</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color w:val="000000"/>
              </w:rPr>
            </w:pPr>
            <w:r w:rsidRPr="00C55616">
              <w:rPr>
                <w:rFonts w:eastAsia="Times New Roman"/>
                <w:color w:val="000000"/>
              </w:rPr>
              <w:t>0,0%</w:t>
            </w:r>
          </w:p>
        </w:tc>
      </w:tr>
      <w:tr w:rsidR="00C55616" w:rsidRPr="00C55616" w:rsidTr="002E233D">
        <w:trPr>
          <w:trHeight w:val="45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b/>
                <w:bCs/>
                <w:color w:val="000000"/>
              </w:rPr>
            </w:pPr>
            <w:r w:rsidRPr="00C55616">
              <w:rPr>
                <w:rFonts w:eastAsia="Times New Roman"/>
                <w:b/>
                <w:bCs/>
                <w:color w:val="000000"/>
              </w:rPr>
              <w:t>г.о. Новокуйбышевск</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0,0%</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41,3%</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12,0%</w:t>
            </w:r>
          </w:p>
        </w:tc>
      </w:tr>
      <w:tr w:rsidR="00C55616" w:rsidRPr="00C55616" w:rsidTr="002E233D">
        <w:trPr>
          <w:trHeight w:val="45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C55616" w:rsidRPr="00C55616" w:rsidRDefault="00C55616" w:rsidP="00C55616">
            <w:pPr>
              <w:rPr>
                <w:rFonts w:eastAsia="Times New Roman"/>
                <w:b/>
                <w:bCs/>
                <w:color w:val="000000"/>
              </w:rPr>
            </w:pPr>
            <w:r w:rsidRPr="00C55616">
              <w:rPr>
                <w:rFonts w:eastAsia="Times New Roman"/>
                <w:b/>
                <w:bCs/>
                <w:color w:val="000000"/>
              </w:rPr>
              <w:t>Поволжское управление</w:t>
            </w:r>
          </w:p>
        </w:tc>
        <w:tc>
          <w:tcPr>
            <w:tcW w:w="1984"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0,6%</w:t>
            </w:r>
          </w:p>
        </w:tc>
        <w:tc>
          <w:tcPr>
            <w:tcW w:w="1985"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37,7%</w:t>
            </w:r>
          </w:p>
        </w:tc>
        <w:tc>
          <w:tcPr>
            <w:tcW w:w="1843" w:type="dxa"/>
            <w:tcBorders>
              <w:top w:val="nil"/>
              <w:left w:val="nil"/>
              <w:bottom w:val="single" w:sz="4" w:space="0" w:color="auto"/>
              <w:right w:val="single" w:sz="4" w:space="0" w:color="auto"/>
            </w:tcBorders>
            <w:shd w:val="clear" w:color="auto" w:fill="auto"/>
            <w:vAlign w:val="center"/>
            <w:hideMark/>
          </w:tcPr>
          <w:p w:rsidR="00C55616" w:rsidRPr="00C55616" w:rsidRDefault="00C55616" w:rsidP="00C55616">
            <w:pPr>
              <w:jc w:val="center"/>
              <w:rPr>
                <w:rFonts w:eastAsia="Times New Roman"/>
                <w:b/>
                <w:bCs/>
                <w:color w:val="000000"/>
              </w:rPr>
            </w:pPr>
            <w:r w:rsidRPr="00C55616">
              <w:rPr>
                <w:rFonts w:eastAsia="Times New Roman"/>
                <w:b/>
                <w:bCs/>
                <w:color w:val="000000"/>
              </w:rPr>
              <w:t>8,8%</w:t>
            </w:r>
          </w:p>
        </w:tc>
      </w:tr>
    </w:tbl>
    <w:p w:rsidR="00C55616" w:rsidRDefault="00C55616" w:rsidP="00903AC5">
      <w:pPr>
        <w:jc w:val="both"/>
        <w:rPr>
          <w:b/>
          <w:bCs/>
        </w:rPr>
      </w:pPr>
    </w:p>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985"/>
        <w:gridCol w:w="1276"/>
        <w:gridCol w:w="567"/>
        <w:gridCol w:w="708"/>
        <w:gridCol w:w="709"/>
        <w:gridCol w:w="851"/>
        <w:gridCol w:w="567"/>
        <w:gridCol w:w="850"/>
        <w:gridCol w:w="567"/>
        <w:gridCol w:w="851"/>
      </w:tblGrid>
      <w:tr w:rsidR="00C51483" w:rsidRPr="00C51483" w:rsidTr="00C55616">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985"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275"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C55616">
        <w:trPr>
          <w:cantSplit/>
          <w:tblHeader/>
        </w:trPr>
        <w:tc>
          <w:tcPr>
            <w:tcW w:w="567" w:type="dxa"/>
            <w:vMerge/>
            <w:vAlign w:val="center"/>
          </w:tcPr>
          <w:p w:rsidR="007A74B7" w:rsidRPr="002178E5" w:rsidRDefault="007A74B7" w:rsidP="002178E5">
            <w:pPr>
              <w:jc w:val="center"/>
              <w:rPr>
                <w:bCs/>
                <w:sz w:val="20"/>
                <w:szCs w:val="20"/>
              </w:rPr>
            </w:pPr>
          </w:p>
        </w:tc>
        <w:tc>
          <w:tcPr>
            <w:tcW w:w="1985"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708"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C55616" w:rsidRPr="00C51483" w:rsidTr="00C55616">
        <w:trPr>
          <w:trHeight w:val="374"/>
        </w:trPr>
        <w:tc>
          <w:tcPr>
            <w:tcW w:w="567" w:type="dxa"/>
            <w:vAlign w:val="center"/>
          </w:tcPr>
          <w:p w:rsidR="00C55616" w:rsidRPr="00017C63" w:rsidRDefault="00C55616" w:rsidP="00C51483">
            <w:pPr>
              <w:contextualSpacing/>
              <w:jc w:val="center"/>
            </w:pPr>
            <w:r w:rsidRPr="002178E5">
              <w:rPr>
                <w:sz w:val="20"/>
                <w:szCs w:val="20"/>
              </w:rPr>
              <w:t>1.</w:t>
            </w:r>
          </w:p>
        </w:tc>
        <w:tc>
          <w:tcPr>
            <w:tcW w:w="1985" w:type="dxa"/>
            <w:vAlign w:val="center"/>
          </w:tcPr>
          <w:p w:rsidR="00C55616" w:rsidRPr="00017C63" w:rsidRDefault="00C55616" w:rsidP="00C51483">
            <w:pPr>
              <w:contextualSpacing/>
              <w:jc w:val="center"/>
            </w:pPr>
            <w:r w:rsidRPr="004F5BC2">
              <w:rPr>
                <w:sz w:val="22"/>
                <w:szCs w:val="22"/>
              </w:rPr>
              <w:t>г.о. Новокуйбышевск</w:t>
            </w:r>
          </w:p>
        </w:tc>
        <w:tc>
          <w:tcPr>
            <w:tcW w:w="1276" w:type="dxa"/>
            <w:vAlign w:val="center"/>
          </w:tcPr>
          <w:p w:rsidR="00C55616" w:rsidRPr="00C55616" w:rsidRDefault="00C55616" w:rsidP="00C51483">
            <w:pPr>
              <w:contextualSpacing/>
              <w:jc w:val="center"/>
              <w:rPr>
                <w:sz w:val="20"/>
                <w:szCs w:val="20"/>
              </w:rPr>
            </w:pPr>
            <w:r w:rsidRPr="00C55616">
              <w:rPr>
                <w:sz w:val="20"/>
                <w:szCs w:val="20"/>
              </w:rPr>
              <w:t>75</w:t>
            </w:r>
          </w:p>
        </w:tc>
        <w:tc>
          <w:tcPr>
            <w:tcW w:w="567" w:type="dxa"/>
            <w:vAlign w:val="center"/>
          </w:tcPr>
          <w:p w:rsidR="00C55616" w:rsidRPr="00C55616" w:rsidRDefault="00C55616" w:rsidP="00C51483">
            <w:pPr>
              <w:contextualSpacing/>
              <w:jc w:val="center"/>
              <w:rPr>
                <w:sz w:val="20"/>
                <w:szCs w:val="20"/>
              </w:rPr>
            </w:pPr>
            <w:r w:rsidRPr="00C55616">
              <w:rPr>
                <w:sz w:val="20"/>
                <w:szCs w:val="20"/>
              </w:rPr>
              <w:t>0</w:t>
            </w:r>
          </w:p>
        </w:tc>
        <w:tc>
          <w:tcPr>
            <w:tcW w:w="708" w:type="dxa"/>
            <w:vAlign w:val="center"/>
          </w:tcPr>
          <w:p w:rsidR="00C55616" w:rsidRPr="00C55616" w:rsidRDefault="00C55616" w:rsidP="00C51483">
            <w:pPr>
              <w:contextualSpacing/>
              <w:jc w:val="center"/>
              <w:rPr>
                <w:sz w:val="20"/>
                <w:szCs w:val="20"/>
              </w:rPr>
            </w:pPr>
            <w:r w:rsidRPr="00C55616">
              <w:rPr>
                <w:rFonts w:eastAsia="Times New Roman"/>
                <w:color w:val="000000"/>
                <w:sz w:val="20"/>
                <w:szCs w:val="20"/>
              </w:rPr>
              <w:t>0,0%</w:t>
            </w:r>
          </w:p>
        </w:tc>
        <w:tc>
          <w:tcPr>
            <w:tcW w:w="709" w:type="dxa"/>
            <w:vAlign w:val="center"/>
          </w:tcPr>
          <w:p w:rsidR="00C55616" w:rsidRPr="00C55616" w:rsidRDefault="00C55616">
            <w:pPr>
              <w:jc w:val="center"/>
              <w:rPr>
                <w:color w:val="000000"/>
                <w:sz w:val="20"/>
                <w:szCs w:val="20"/>
              </w:rPr>
            </w:pPr>
            <w:r w:rsidRPr="00C55616">
              <w:rPr>
                <w:color w:val="000000"/>
                <w:sz w:val="20"/>
                <w:szCs w:val="20"/>
              </w:rPr>
              <w:t>15</w:t>
            </w:r>
          </w:p>
        </w:tc>
        <w:tc>
          <w:tcPr>
            <w:tcW w:w="851" w:type="dxa"/>
            <w:vAlign w:val="center"/>
          </w:tcPr>
          <w:p w:rsidR="00C55616" w:rsidRPr="00C55616" w:rsidRDefault="00C55616">
            <w:pPr>
              <w:jc w:val="center"/>
              <w:rPr>
                <w:color w:val="000000"/>
                <w:sz w:val="20"/>
                <w:szCs w:val="20"/>
              </w:rPr>
            </w:pPr>
            <w:r w:rsidRPr="00C55616">
              <w:rPr>
                <w:color w:val="000000"/>
                <w:sz w:val="20"/>
                <w:szCs w:val="20"/>
              </w:rPr>
              <w:t>20,0%</w:t>
            </w:r>
          </w:p>
        </w:tc>
        <w:tc>
          <w:tcPr>
            <w:tcW w:w="567" w:type="dxa"/>
            <w:vAlign w:val="center"/>
          </w:tcPr>
          <w:p w:rsidR="00C55616" w:rsidRPr="00C55616" w:rsidRDefault="00C55616">
            <w:pPr>
              <w:jc w:val="center"/>
              <w:rPr>
                <w:color w:val="000000"/>
                <w:sz w:val="20"/>
                <w:szCs w:val="20"/>
              </w:rPr>
            </w:pPr>
            <w:r w:rsidRPr="00C55616">
              <w:rPr>
                <w:color w:val="000000"/>
                <w:sz w:val="20"/>
                <w:szCs w:val="20"/>
              </w:rPr>
              <w:t>29</w:t>
            </w:r>
          </w:p>
        </w:tc>
        <w:tc>
          <w:tcPr>
            <w:tcW w:w="850" w:type="dxa"/>
            <w:vAlign w:val="center"/>
          </w:tcPr>
          <w:p w:rsidR="00C55616" w:rsidRPr="00C55616" w:rsidRDefault="00C55616">
            <w:pPr>
              <w:jc w:val="center"/>
              <w:rPr>
                <w:color w:val="000000"/>
                <w:sz w:val="20"/>
                <w:szCs w:val="20"/>
              </w:rPr>
            </w:pPr>
            <w:r w:rsidRPr="00C55616">
              <w:rPr>
                <w:color w:val="000000"/>
                <w:sz w:val="20"/>
                <w:szCs w:val="20"/>
              </w:rPr>
              <w:t>38,7%</w:t>
            </w:r>
          </w:p>
        </w:tc>
        <w:tc>
          <w:tcPr>
            <w:tcW w:w="567" w:type="dxa"/>
            <w:vAlign w:val="center"/>
          </w:tcPr>
          <w:p w:rsidR="00C55616" w:rsidRPr="00C55616" w:rsidRDefault="00C55616">
            <w:pPr>
              <w:jc w:val="center"/>
              <w:rPr>
                <w:color w:val="000000"/>
                <w:sz w:val="20"/>
                <w:szCs w:val="20"/>
              </w:rPr>
            </w:pPr>
            <w:r w:rsidRPr="00C55616">
              <w:rPr>
                <w:color w:val="000000"/>
                <w:sz w:val="20"/>
                <w:szCs w:val="20"/>
              </w:rPr>
              <w:t>31</w:t>
            </w:r>
          </w:p>
        </w:tc>
        <w:tc>
          <w:tcPr>
            <w:tcW w:w="851" w:type="dxa"/>
            <w:vAlign w:val="center"/>
          </w:tcPr>
          <w:p w:rsidR="00C55616" w:rsidRPr="00C55616" w:rsidRDefault="00C55616">
            <w:pPr>
              <w:jc w:val="center"/>
              <w:rPr>
                <w:color w:val="000000"/>
                <w:sz w:val="20"/>
                <w:szCs w:val="20"/>
              </w:rPr>
            </w:pPr>
            <w:r w:rsidRPr="00C55616">
              <w:rPr>
                <w:color w:val="000000"/>
                <w:sz w:val="20"/>
                <w:szCs w:val="20"/>
              </w:rPr>
              <w:t>41,3%</w:t>
            </w:r>
          </w:p>
        </w:tc>
      </w:tr>
      <w:tr w:rsidR="00C55616" w:rsidRPr="00C51483" w:rsidTr="00C55616">
        <w:trPr>
          <w:trHeight w:val="419"/>
        </w:trPr>
        <w:tc>
          <w:tcPr>
            <w:tcW w:w="567" w:type="dxa"/>
            <w:vAlign w:val="center"/>
          </w:tcPr>
          <w:p w:rsidR="00C55616" w:rsidRPr="00017C63" w:rsidRDefault="00C55616" w:rsidP="00C51483">
            <w:pPr>
              <w:contextualSpacing/>
              <w:jc w:val="center"/>
            </w:pPr>
            <w:r>
              <w:rPr>
                <w:sz w:val="20"/>
                <w:szCs w:val="20"/>
              </w:rPr>
              <w:t>2.</w:t>
            </w:r>
          </w:p>
        </w:tc>
        <w:tc>
          <w:tcPr>
            <w:tcW w:w="1985" w:type="dxa"/>
            <w:vAlign w:val="center"/>
          </w:tcPr>
          <w:p w:rsidR="00C55616" w:rsidRPr="00017C63" w:rsidRDefault="00C55616" w:rsidP="00C51483">
            <w:pPr>
              <w:contextualSpacing/>
              <w:jc w:val="center"/>
            </w:pPr>
            <w:r w:rsidRPr="004F5BC2">
              <w:rPr>
                <w:sz w:val="22"/>
                <w:szCs w:val="22"/>
              </w:rPr>
              <w:t>м.р. Волжский</w:t>
            </w:r>
          </w:p>
        </w:tc>
        <w:tc>
          <w:tcPr>
            <w:tcW w:w="1276" w:type="dxa"/>
            <w:vAlign w:val="center"/>
          </w:tcPr>
          <w:p w:rsidR="00C55616" w:rsidRPr="00C55616" w:rsidRDefault="00C55616" w:rsidP="00C51483">
            <w:pPr>
              <w:contextualSpacing/>
              <w:jc w:val="center"/>
              <w:rPr>
                <w:sz w:val="20"/>
                <w:szCs w:val="20"/>
              </w:rPr>
            </w:pPr>
            <w:r w:rsidRPr="00C55616">
              <w:rPr>
                <w:sz w:val="20"/>
                <w:szCs w:val="20"/>
              </w:rPr>
              <w:t>84</w:t>
            </w:r>
          </w:p>
        </w:tc>
        <w:tc>
          <w:tcPr>
            <w:tcW w:w="567" w:type="dxa"/>
            <w:vAlign w:val="center"/>
          </w:tcPr>
          <w:p w:rsidR="00C55616" w:rsidRPr="00C55616" w:rsidRDefault="00C55616" w:rsidP="00C51483">
            <w:pPr>
              <w:contextualSpacing/>
              <w:jc w:val="center"/>
              <w:rPr>
                <w:sz w:val="20"/>
                <w:szCs w:val="20"/>
              </w:rPr>
            </w:pPr>
            <w:r w:rsidRPr="00C55616">
              <w:rPr>
                <w:sz w:val="20"/>
                <w:szCs w:val="20"/>
              </w:rPr>
              <w:t>0</w:t>
            </w:r>
          </w:p>
        </w:tc>
        <w:tc>
          <w:tcPr>
            <w:tcW w:w="708" w:type="dxa"/>
            <w:vAlign w:val="center"/>
          </w:tcPr>
          <w:p w:rsidR="00C55616" w:rsidRPr="00C55616" w:rsidRDefault="00C55616" w:rsidP="00C51483">
            <w:pPr>
              <w:contextualSpacing/>
              <w:jc w:val="center"/>
              <w:rPr>
                <w:sz w:val="20"/>
                <w:szCs w:val="20"/>
              </w:rPr>
            </w:pPr>
            <w:r w:rsidRPr="00C55616">
              <w:rPr>
                <w:rFonts w:eastAsia="Times New Roman"/>
                <w:color w:val="000000"/>
                <w:sz w:val="20"/>
                <w:szCs w:val="20"/>
              </w:rPr>
              <w:t>0,0%</w:t>
            </w:r>
          </w:p>
        </w:tc>
        <w:tc>
          <w:tcPr>
            <w:tcW w:w="709" w:type="dxa"/>
            <w:vAlign w:val="center"/>
          </w:tcPr>
          <w:p w:rsidR="00C55616" w:rsidRPr="00C55616" w:rsidRDefault="00C55616">
            <w:pPr>
              <w:jc w:val="center"/>
              <w:rPr>
                <w:color w:val="000000"/>
                <w:sz w:val="20"/>
                <w:szCs w:val="20"/>
              </w:rPr>
            </w:pPr>
            <w:r w:rsidRPr="00C55616">
              <w:rPr>
                <w:color w:val="000000"/>
                <w:sz w:val="20"/>
                <w:szCs w:val="20"/>
              </w:rPr>
              <w:t>16</w:t>
            </w:r>
          </w:p>
        </w:tc>
        <w:tc>
          <w:tcPr>
            <w:tcW w:w="851" w:type="dxa"/>
            <w:vAlign w:val="center"/>
          </w:tcPr>
          <w:p w:rsidR="00C55616" w:rsidRPr="00C55616" w:rsidRDefault="00C55616">
            <w:pPr>
              <w:jc w:val="center"/>
              <w:rPr>
                <w:color w:val="000000"/>
                <w:sz w:val="20"/>
                <w:szCs w:val="20"/>
              </w:rPr>
            </w:pPr>
            <w:r w:rsidRPr="00C55616">
              <w:rPr>
                <w:color w:val="000000"/>
                <w:sz w:val="20"/>
                <w:szCs w:val="20"/>
              </w:rPr>
              <w:t>19,0%</w:t>
            </w:r>
          </w:p>
        </w:tc>
        <w:tc>
          <w:tcPr>
            <w:tcW w:w="567" w:type="dxa"/>
            <w:vAlign w:val="center"/>
          </w:tcPr>
          <w:p w:rsidR="00C55616" w:rsidRPr="00C55616" w:rsidRDefault="00C55616">
            <w:pPr>
              <w:jc w:val="center"/>
              <w:rPr>
                <w:color w:val="000000"/>
                <w:sz w:val="20"/>
                <w:szCs w:val="20"/>
              </w:rPr>
            </w:pPr>
            <w:r w:rsidRPr="00C55616">
              <w:rPr>
                <w:color w:val="000000"/>
                <w:sz w:val="20"/>
                <w:szCs w:val="20"/>
              </w:rPr>
              <w:t>39</w:t>
            </w:r>
          </w:p>
        </w:tc>
        <w:tc>
          <w:tcPr>
            <w:tcW w:w="850" w:type="dxa"/>
            <w:vAlign w:val="center"/>
          </w:tcPr>
          <w:p w:rsidR="00C55616" w:rsidRPr="00C55616" w:rsidRDefault="00C55616">
            <w:pPr>
              <w:jc w:val="center"/>
              <w:rPr>
                <w:color w:val="000000"/>
                <w:sz w:val="20"/>
                <w:szCs w:val="20"/>
              </w:rPr>
            </w:pPr>
            <w:r w:rsidRPr="00C55616">
              <w:rPr>
                <w:color w:val="000000"/>
                <w:sz w:val="20"/>
                <w:szCs w:val="20"/>
              </w:rPr>
              <w:t>46,4%</w:t>
            </w:r>
          </w:p>
        </w:tc>
        <w:tc>
          <w:tcPr>
            <w:tcW w:w="567" w:type="dxa"/>
            <w:vAlign w:val="center"/>
          </w:tcPr>
          <w:p w:rsidR="00C55616" w:rsidRPr="00C55616" w:rsidRDefault="00C55616">
            <w:pPr>
              <w:jc w:val="center"/>
              <w:rPr>
                <w:color w:val="000000"/>
                <w:sz w:val="20"/>
                <w:szCs w:val="20"/>
              </w:rPr>
            </w:pPr>
            <w:r w:rsidRPr="00C55616">
              <w:rPr>
                <w:color w:val="000000"/>
                <w:sz w:val="20"/>
                <w:szCs w:val="20"/>
              </w:rPr>
              <w:t>29</w:t>
            </w:r>
          </w:p>
        </w:tc>
        <w:tc>
          <w:tcPr>
            <w:tcW w:w="851" w:type="dxa"/>
            <w:vAlign w:val="center"/>
          </w:tcPr>
          <w:p w:rsidR="00C55616" w:rsidRPr="00C55616" w:rsidRDefault="00C55616">
            <w:pPr>
              <w:jc w:val="center"/>
              <w:rPr>
                <w:color w:val="000000"/>
                <w:sz w:val="20"/>
                <w:szCs w:val="20"/>
              </w:rPr>
            </w:pPr>
            <w:r w:rsidRPr="00C55616">
              <w:rPr>
                <w:color w:val="000000"/>
                <w:sz w:val="20"/>
                <w:szCs w:val="20"/>
              </w:rPr>
              <w:t>34,5%</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lastRenderedPageBreak/>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82776F" w:rsidRDefault="0079316A" w:rsidP="00017C63">
            <w:pPr>
              <w:pStyle w:val="a3"/>
              <w:spacing w:after="0" w:line="240" w:lineRule="auto"/>
              <w:ind w:left="0"/>
              <w:rPr>
                <w:rFonts w:ascii="Times New Roman" w:hAnsi="Times New Roman"/>
                <w:b/>
                <w:szCs w:val="20"/>
              </w:rPr>
            </w:pPr>
            <w:r w:rsidRPr="0082776F">
              <w:rPr>
                <w:rFonts w:ascii="Times New Roman" w:hAnsi="Times New Roman"/>
                <w:b/>
                <w:szCs w:val="20"/>
              </w:rPr>
              <w:t>№ п/п</w:t>
            </w:r>
          </w:p>
        </w:tc>
        <w:tc>
          <w:tcPr>
            <w:tcW w:w="2835" w:type="dxa"/>
            <w:vMerge w:val="restart"/>
            <w:vAlign w:val="center"/>
          </w:tcPr>
          <w:p w:rsidR="007A74B7" w:rsidRPr="0082776F" w:rsidRDefault="0082776F" w:rsidP="00017C63">
            <w:pPr>
              <w:pStyle w:val="a3"/>
              <w:spacing w:after="0" w:line="240" w:lineRule="auto"/>
              <w:ind w:left="0"/>
              <w:rPr>
                <w:rFonts w:ascii="Times New Roman" w:hAnsi="Times New Roman"/>
                <w:b/>
                <w:szCs w:val="20"/>
              </w:rPr>
            </w:pPr>
            <w:r>
              <w:rPr>
                <w:rFonts w:ascii="Times New Roman" w:hAnsi="Times New Roman"/>
                <w:b/>
                <w:szCs w:val="20"/>
              </w:rPr>
              <w:t>Участники ОГЭ</w:t>
            </w:r>
          </w:p>
        </w:tc>
        <w:tc>
          <w:tcPr>
            <w:tcW w:w="6237"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835"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850"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6"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5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t>обученности)</w:t>
            </w:r>
          </w:p>
        </w:tc>
      </w:tr>
      <w:tr w:rsidR="00A4456F" w:rsidRPr="0082776F" w:rsidTr="00A4456F">
        <w:trPr>
          <w:trHeight w:val="397"/>
        </w:trPr>
        <w:tc>
          <w:tcPr>
            <w:tcW w:w="567" w:type="dxa"/>
            <w:vAlign w:val="center"/>
          </w:tcPr>
          <w:p w:rsidR="00A4456F" w:rsidRPr="00017C63" w:rsidRDefault="00A4456F"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456F" w:rsidRPr="0082776F" w:rsidRDefault="00A4456F" w:rsidP="003B63D9">
            <w:pPr>
              <w:contextualSpacing/>
            </w:pPr>
            <w:proofErr w:type="gramStart"/>
            <w:r w:rsidRPr="0082776F">
              <w:t>Обучающиеся</w:t>
            </w:r>
            <w:proofErr w:type="gramEnd"/>
            <w:r w:rsidRPr="0082776F">
              <w:t xml:space="preserve"> гимназий</w:t>
            </w:r>
          </w:p>
        </w:tc>
        <w:tc>
          <w:tcPr>
            <w:tcW w:w="851" w:type="dxa"/>
            <w:vAlign w:val="center"/>
          </w:tcPr>
          <w:p w:rsidR="00A4456F" w:rsidRPr="002E233D" w:rsidRDefault="00A4456F" w:rsidP="002E233D">
            <w:pPr>
              <w:jc w:val="center"/>
              <w:rPr>
                <w:color w:val="000000"/>
                <w:sz w:val="20"/>
                <w:szCs w:val="20"/>
              </w:rPr>
            </w:pPr>
          </w:p>
        </w:tc>
        <w:tc>
          <w:tcPr>
            <w:tcW w:w="850" w:type="dxa"/>
            <w:vAlign w:val="center"/>
          </w:tcPr>
          <w:p w:rsidR="00A4456F" w:rsidRPr="00A4456F" w:rsidRDefault="00A4456F" w:rsidP="00A4456F">
            <w:pPr>
              <w:jc w:val="center"/>
              <w:rPr>
                <w:color w:val="000000"/>
              </w:rPr>
            </w:pPr>
            <w:r w:rsidRPr="00A4456F">
              <w:rPr>
                <w:color w:val="000000"/>
                <w:sz w:val="22"/>
                <w:szCs w:val="22"/>
              </w:rPr>
              <w:t>0,0%</w:t>
            </w:r>
          </w:p>
        </w:tc>
        <w:tc>
          <w:tcPr>
            <w:tcW w:w="851" w:type="dxa"/>
            <w:vAlign w:val="center"/>
          </w:tcPr>
          <w:p w:rsidR="00A4456F" w:rsidRPr="00A4456F" w:rsidRDefault="00A4456F" w:rsidP="00A4456F">
            <w:pPr>
              <w:jc w:val="center"/>
              <w:rPr>
                <w:color w:val="000000"/>
              </w:rPr>
            </w:pPr>
            <w:r w:rsidRPr="00A4456F">
              <w:rPr>
                <w:color w:val="000000"/>
                <w:sz w:val="22"/>
                <w:szCs w:val="22"/>
              </w:rPr>
              <w:t>0,6%</w:t>
            </w:r>
          </w:p>
        </w:tc>
        <w:tc>
          <w:tcPr>
            <w:tcW w:w="850" w:type="dxa"/>
            <w:vAlign w:val="center"/>
          </w:tcPr>
          <w:p w:rsidR="00A4456F" w:rsidRPr="00A4456F" w:rsidRDefault="00A4456F" w:rsidP="00A4456F">
            <w:pPr>
              <w:jc w:val="center"/>
              <w:rPr>
                <w:color w:val="000000"/>
              </w:rPr>
            </w:pPr>
            <w:r w:rsidRPr="00A4456F">
              <w:rPr>
                <w:color w:val="000000"/>
                <w:sz w:val="22"/>
                <w:szCs w:val="22"/>
              </w:rPr>
              <w:t>0,0%</w:t>
            </w:r>
          </w:p>
        </w:tc>
        <w:tc>
          <w:tcPr>
            <w:tcW w:w="1276" w:type="dxa"/>
            <w:vAlign w:val="center"/>
          </w:tcPr>
          <w:p w:rsidR="00A4456F" w:rsidRPr="00A4456F" w:rsidRDefault="00A4456F" w:rsidP="00A4456F">
            <w:pPr>
              <w:jc w:val="center"/>
              <w:rPr>
                <w:color w:val="000000"/>
              </w:rPr>
            </w:pPr>
            <w:r w:rsidRPr="00A4456F">
              <w:rPr>
                <w:color w:val="000000"/>
                <w:sz w:val="22"/>
                <w:szCs w:val="22"/>
              </w:rPr>
              <w:t>0,6%</w:t>
            </w:r>
          </w:p>
        </w:tc>
        <w:tc>
          <w:tcPr>
            <w:tcW w:w="1559" w:type="dxa"/>
            <w:vAlign w:val="center"/>
          </w:tcPr>
          <w:p w:rsidR="00A4456F" w:rsidRPr="00A4456F" w:rsidRDefault="00A4456F" w:rsidP="00A4456F">
            <w:pPr>
              <w:jc w:val="center"/>
              <w:rPr>
                <w:color w:val="000000"/>
              </w:rPr>
            </w:pPr>
            <w:r w:rsidRPr="00A4456F">
              <w:rPr>
                <w:color w:val="000000"/>
                <w:sz w:val="22"/>
                <w:szCs w:val="22"/>
              </w:rPr>
              <w:t>0,6%</w:t>
            </w:r>
          </w:p>
        </w:tc>
      </w:tr>
      <w:tr w:rsidR="00A4456F" w:rsidRPr="0082776F" w:rsidTr="00A4456F">
        <w:trPr>
          <w:trHeight w:val="397"/>
        </w:trPr>
        <w:tc>
          <w:tcPr>
            <w:tcW w:w="567" w:type="dxa"/>
            <w:vAlign w:val="center"/>
          </w:tcPr>
          <w:p w:rsidR="00A4456F" w:rsidRPr="00017C63" w:rsidRDefault="00A4456F"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456F" w:rsidRPr="0082776F" w:rsidRDefault="00A4456F" w:rsidP="003B63D9">
            <w:pPr>
              <w:contextualSpacing/>
            </w:pPr>
            <w:proofErr w:type="gramStart"/>
            <w:r w:rsidRPr="0082776F">
              <w:t>Обучающиеся</w:t>
            </w:r>
            <w:proofErr w:type="gramEnd"/>
            <w:r w:rsidRPr="0082776F">
              <w:t xml:space="preserve"> </w:t>
            </w:r>
            <w:r w:rsidRPr="00E213F3">
              <w:t>школ с углубленным изучением предметов</w:t>
            </w:r>
          </w:p>
        </w:tc>
        <w:tc>
          <w:tcPr>
            <w:tcW w:w="851" w:type="dxa"/>
            <w:vAlign w:val="center"/>
          </w:tcPr>
          <w:p w:rsidR="00A4456F" w:rsidRPr="002E233D" w:rsidRDefault="00A4456F" w:rsidP="002E233D">
            <w:pPr>
              <w:jc w:val="center"/>
              <w:rPr>
                <w:color w:val="000000"/>
                <w:sz w:val="20"/>
                <w:szCs w:val="20"/>
              </w:rPr>
            </w:pPr>
          </w:p>
        </w:tc>
        <w:tc>
          <w:tcPr>
            <w:tcW w:w="850" w:type="dxa"/>
            <w:vAlign w:val="center"/>
          </w:tcPr>
          <w:p w:rsidR="00A4456F" w:rsidRPr="00A4456F" w:rsidRDefault="00A4456F" w:rsidP="00A4456F">
            <w:pPr>
              <w:jc w:val="center"/>
              <w:rPr>
                <w:color w:val="000000"/>
              </w:rPr>
            </w:pPr>
            <w:r w:rsidRPr="00A4456F">
              <w:rPr>
                <w:color w:val="000000"/>
                <w:sz w:val="22"/>
                <w:szCs w:val="22"/>
              </w:rPr>
              <w:t>0,6%</w:t>
            </w:r>
          </w:p>
        </w:tc>
        <w:tc>
          <w:tcPr>
            <w:tcW w:w="851" w:type="dxa"/>
            <w:vAlign w:val="center"/>
          </w:tcPr>
          <w:p w:rsidR="00A4456F" w:rsidRPr="00A4456F" w:rsidRDefault="00A4456F" w:rsidP="00A4456F">
            <w:pPr>
              <w:jc w:val="center"/>
              <w:rPr>
                <w:color w:val="000000"/>
              </w:rPr>
            </w:pPr>
            <w:r w:rsidRPr="00A4456F">
              <w:rPr>
                <w:color w:val="000000"/>
                <w:sz w:val="22"/>
                <w:szCs w:val="22"/>
              </w:rPr>
              <w:t>2,5%</w:t>
            </w:r>
          </w:p>
        </w:tc>
        <w:tc>
          <w:tcPr>
            <w:tcW w:w="850" w:type="dxa"/>
            <w:vAlign w:val="center"/>
          </w:tcPr>
          <w:p w:rsidR="00A4456F" w:rsidRPr="00A4456F" w:rsidRDefault="00A4456F" w:rsidP="00A4456F">
            <w:pPr>
              <w:jc w:val="center"/>
              <w:rPr>
                <w:color w:val="000000"/>
              </w:rPr>
            </w:pPr>
            <w:r w:rsidRPr="00A4456F">
              <w:rPr>
                <w:color w:val="000000"/>
                <w:sz w:val="22"/>
                <w:szCs w:val="22"/>
              </w:rPr>
              <w:t>1,9%</w:t>
            </w:r>
          </w:p>
        </w:tc>
        <w:tc>
          <w:tcPr>
            <w:tcW w:w="1276" w:type="dxa"/>
            <w:vAlign w:val="center"/>
          </w:tcPr>
          <w:p w:rsidR="00A4456F" w:rsidRPr="00A4456F" w:rsidRDefault="00A4456F" w:rsidP="00A4456F">
            <w:pPr>
              <w:jc w:val="center"/>
              <w:rPr>
                <w:color w:val="000000"/>
              </w:rPr>
            </w:pPr>
            <w:r w:rsidRPr="00A4456F">
              <w:rPr>
                <w:color w:val="000000"/>
                <w:sz w:val="22"/>
                <w:szCs w:val="22"/>
              </w:rPr>
              <w:t>4,4%</w:t>
            </w:r>
          </w:p>
        </w:tc>
        <w:tc>
          <w:tcPr>
            <w:tcW w:w="1559" w:type="dxa"/>
            <w:vAlign w:val="center"/>
          </w:tcPr>
          <w:p w:rsidR="00A4456F" w:rsidRPr="00A4456F" w:rsidRDefault="00A4456F" w:rsidP="00A4456F">
            <w:pPr>
              <w:jc w:val="center"/>
              <w:rPr>
                <w:color w:val="000000"/>
              </w:rPr>
            </w:pPr>
            <w:r w:rsidRPr="00A4456F">
              <w:rPr>
                <w:color w:val="000000"/>
                <w:sz w:val="22"/>
                <w:szCs w:val="22"/>
              </w:rPr>
              <w:t>5,0%</w:t>
            </w:r>
          </w:p>
        </w:tc>
      </w:tr>
      <w:tr w:rsidR="00A4456F" w:rsidRPr="0082776F" w:rsidTr="00A4456F">
        <w:trPr>
          <w:trHeight w:val="397"/>
        </w:trPr>
        <w:tc>
          <w:tcPr>
            <w:tcW w:w="567" w:type="dxa"/>
            <w:vAlign w:val="center"/>
          </w:tcPr>
          <w:p w:rsidR="00A4456F" w:rsidRPr="00017C63" w:rsidRDefault="00A4456F"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456F" w:rsidRPr="0082776F" w:rsidRDefault="00A4456F" w:rsidP="003B63D9">
            <w:pPr>
              <w:contextualSpacing/>
            </w:pPr>
            <w:r w:rsidRPr="0082776F">
              <w:t>Обучающиеся СОШ</w:t>
            </w:r>
          </w:p>
        </w:tc>
        <w:tc>
          <w:tcPr>
            <w:tcW w:w="851" w:type="dxa"/>
            <w:vAlign w:val="center"/>
          </w:tcPr>
          <w:p w:rsidR="00A4456F" w:rsidRPr="002E233D" w:rsidRDefault="00A4456F" w:rsidP="002E233D">
            <w:pPr>
              <w:jc w:val="center"/>
              <w:rPr>
                <w:color w:val="000000"/>
                <w:sz w:val="20"/>
                <w:szCs w:val="20"/>
              </w:rPr>
            </w:pPr>
          </w:p>
        </w:tc>
        <w:tc>
          <w:tcPr>
            <w:tcW w:w="850" w:type="dxa"/>
            <w:vAlign w:val="center"/>
          </w:tcPr>
          <w:p w:rsidR="00A4456F" w:rsidRPr="00A4456F" w:rsidRDefault="00A4456F" w:rsidP="00A4456F">
            <w:pPr>
              <w:jc w:val="center"/>
              <w:rPr>
                <w:color w:val="000000"/>
              </w:rPr>
            </w:pPr>
            <w:r w:rsidRPr="00A4456F">
              <w:rPr>
                <w:color w:val="000000"/>
                <w:sz w:val="22"/>
                <w:szCs w:val="22"/>
              </w:rPr>
              <w:t>12,6%</w:t>
            </w:r>
          </w:p>
        </w:tc>
        <w:tc>
          <w:tcPr>
            <w:tcW w:w="851" w:type="dxa"/>
            <w:vAlign w:val="center"/>
          </w:tcPr>
          <w:p w:rsidR="00A4456F" w:rsidRPr="00A4456F" w:rsidRDefault="00A4456F" w:rsidP="00A4456F">
            <w:pPr>
              <w:jc w:val="center"/>
              <w:rPr>
                <w:color w:val="000000"/>
              </w:rPr>
            </w:pPr>
            <w:r w:rsidRPr="00A4456F">
              <w:rPr>
                <w:color w:val="000000"/>
                <w:sz w:val="22"/>
                <w:szCs w:val="22"/>
              </w:rPr>
              <w:t>32,1%</w:t>
            </w:r>
          </w:p>
        </w:tc>
        <w:tc>
          <w:tcPr>
            <w:tcW w:w="850" w:type="dxa"/>
            <w:vAlign w:val="center"/>
          </w:tcPr>
          <w:p w:rsidR="00A4456F" w:rsidRPr="00A4456F" w:rsidRDefault="00A4456F" w:rsidP="00A4456F">
            <w:pPr>
              <w:jc w:val="center"/>
              <w:rPr>
                <w:color w:val="000000"/>
              </w:rPr>
            </w:pPr>
            <w:r w:rsidRPr="00A4456F">
              <w:rPr>
                <w:color w:val="000000"/>
                <w:sz w:val="22"/>
                <w:szCs w:val="22"/>
              </w:rPr>
              <w:t>24,5%</w:t>
            </w:r>
          </w:p>
        </w:tc>
        <w:tc>
          <w:tcPr>
            <w:tcW w:w="1276" w:type="dxa"/>
            <w:vAlign w:val="center"/>
          </w:tcPr>
          <w:p w:rsidR="00A4456F" w:rsidRPr="00A4456F" w:rsidRDefault="00A4456F" w:rsidP="00A4456F">
            <w:pPr>
              <w:jc w:val="center"/>
              <w:rPr>
                <w:color w:val="000000"/>
              </w:rPr>
            </w:pPr>
            <w:r w:rsidRPr="00A4456F">
              <w:rPr>
                <w:color w:val="000000"/>
                <w:sz w:val="22"/>
                <w:szCs w:val="22"/>
              </w:rPr>
              <w:t>56,6%</w:t>
            </w:r>
          </w:p>
        </w:tc>
        <w:tc>
          <w:tcPr>
            <w:tcW w:w="1559" w:type="dxa"/>
            <w:vAlign w:val="center"/>
          </w:tcPr>
          <w:p w:rsidR="00A4456F" w:rsidRPr="00A4456F" w:rsidRDefault="00A4456F" w:rsidP="00A4456F">
            <w:pPr>
              <w:jc w:val="center"/>
              <w:rPr>
                <w:color w:val="000000"/>
              </w:rPr>
            </w:pPr>
            <w:r w:rsidRPr="00A4456F">
              <w:rPr>
                <w:color w:val="000000"/>
                <w:sz w:val="22"/>
                <w:szCs w:val="22"/>
              </w:rPr>
              <w:t>69,2%</w:t>
            </w:r>
          </w:p>
        </w:tc>
      </w:tr>
      <w:tr w:rsidR="00A4456F" w:rsidRPr="0082776F" w:rsidTr="00A4456F">
        <w:trPr>
          <w:trHeight w:val="397"/>
        </w:trPr>
        <w:tc>
          <w:tcPr>
            <w:tcW w:w="567" w:type="dxa"/>
            <w:vAlign w:val="center"/>
          </w:tcPr>
          <w:p w:rsidR="00A4456F" w:rsidRPr="00017C63" w:rsidRDefault="00A4456F"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456F" w:rsidRPr="0082776F" w:rsidRDefault="00A4456F" w:rsidP="003B63D9">
            <w:pPr>
              <w:contextualSpacing/>
            </w:pPr>
            <w:r>
              <w:t>Обучающиеся О</w:t>
            </w:r>
            <w:r w:rsidRPr="0082776F">
              <w:t>ОШ</w:t>
            </w:r>
            <w:r w:rsidRPr="000975FD">
              <w:t xml:space="preserve"> </w:t>
            </w:r>
          </w:p>
        </w:tc>
        <w:tc>
          <w:tcPr>
            <w:tcW w:w="851" w:type="dxa"/>
            <w:vAlign w:val="center"/>
          </w:tcPr>
          <w:p w:rsidR="00A4456F" w:rsidRPr="002E233D" w:rsidRDefault="00A4456F" w:rsidP="002E233D">
            <w:pPr>
              <w:jc w:val="center"/>
              <w:rPr>
                <w:color w:val="000000"/>
                <w:sz w:val="20"/>
                <w:szCs w:val="20"/>
              </w:rPr>
            </w:pPr>
          </w:p>
        </w:tc>
        <w:tc>
          <w:tcPr>
            <w:tcW w:w="850" w:type="dxa"/>
            <w:vAlign w:val="center"/>
          </w:tcPr>
          <w:p w:rsidR="00A4456F" w:rsidRPr="00A4456F" w:rsidRDefault="00A4456F" w:rsidP="00A4456F">
            <w:pPr>
              <w:jc w:val="center"/>
              <w:rPr>
                <w:color w:val="000000"/>
              </w:rPr>
            </w:pPr>
            <w:r w:rsidRPr="00A4456F">
              <w:rPr>
                <w:color w:val="000000"/>
                <w:sz w:val="22"/>
                <w:szCs w:val="22"/>
              </w:rPr>
              <w:t>6,3%</w:t>
            </w:r>
          </w:p>
        </w:tc>
        <w:tc>
          <w:tcPr>
            <w:tcW w:w="851" w:type="dxa"/>
            <w:vAlign w:val="center"/>
          </w:tcPr>
          <w:p w:rsidR="00A4456F" w:rsidRPr="00A4456F" w:rsidRDefault="00A4456F" w:rsidP="00A4456F">
            <w:pPr>
              <w:jc w:val="center"/>
              <w:rPr>
                <w:color w:val="000000"/>
              </w:rPr>
            </w:pPr>
            <w:r w:rsidRPr="00A4456F">
              <w:rPr>
                <w:color w:val="000000"/>
                <w:sz w:val="22"/>
                <w:szCs w:val="22"/>
              </w:rPr>
              <w:t>7,5%</w:t>
            </w:r>
          </w:p>
        </w:tc>
        <w:tc>
          <w:tcPr>
            <w:tcW w:w="850" w:type="dxa"/>
            <w:vAlign w:val="center"/>
          </w:tcPr>
          <w:p w:rsidR="00A4456F" w:rsidRPr="00A4456F" w:rsidRDefault="00A4456F" w:rsidP="00A4456F">
            <w:pPr>
              <w:jc w:val="center"/>
              <w:rPr>
                <w:color w:val="000000"/>
              </w:rPr>
            </w:pPr>
            <w:r w:rsidRPr="00A4456F">
              <w:rPr>
                <w:color w:val="000000"/>
                <w:sz w:val="22"/>
                <w:szCs w:val="22"/>
              </w:rPr>
              <w:t>11,3%</w:t>
            </w:r>
          </w:p>
        </w:tc>
        <w:tc>
          <w:tcPr>
            <w:tcW w:w="1276" w:type="dxa"/>
            <w:vAlign w:val="center"/>
          </w:tcPr>
          <w:p w:rsidR="00A4456F" w:rsidRPr="00A4456F" w:rsidRDefault="00A4456F" w:rsidP="00A4456F">
            <w:pPr>
              <w:jc w:val="center"/>
              <w:rPr>
                <w:color w:val="000000"/>
              </w:rPr>
            </w:pPr>
            <w:r w:rsidRPr="00A4456F">
              <w:rPr>
                <w:color w:val="000000"/>
                <w:sz w:val="22"/>
                <w:szCs w:val="22"/>
              </w:rPr>
              <w:t>18,9%</w:t>
            </w:r>
          </w:p>
        </w:tc>
        <w:tc>
          <w:tcPr>
            <w:tcW w:w="1559" w:type="dxa"/>
            <w:vAlign w:val="center"/>
          </w:tcPr>
          <w:p w:rsidR="00A4456F" w:rsidRPr="00A4456F" w:rsidRDefault="00A4456F" w:rsidP="00A4456F">
            <w:pPr>
              <w:jc w:val="center"/>
              <w:rPr>
                <w:color w:val="000000"/>
              </w:rPr>
            </w:pPr>
            <w:r w:rsidRPr="00A4456F">
              <w:rPr>
                <w:color w:val="000000"/>
                <w:sz w:val="22"/>
                <w:szCs w:val="22"/>
              </w:rPr>
              <w:t>25,2%</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w:t>
      </w:r>
      <w:r w:rsidR="00FA5950" w:rsidRPr="002178E5">
        <w:rPr>
          <w:rFonts w:eastAsia="Times New Roman"/>
          <w:i/>
        </w:rPr>
        <w:t xml:space="preserve">ОО </w:t>
      </w:r>
      <w:r w:rsidR="00FA5950">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E757B8" w:rsidRPr="00DC5DDB" w:rsidTr="00E757B8">
        <w:trPr>
          <w:trHeight w:val="385"/>
        </w:trPr>
        <w:tc>
          <w:tcPr>
            <w:tcW w:w="709" w:type="dxa"/>
            <w:vAlign w:val="center"/>
          </w:tcPr>
          <w:p w:rsidR="00E757B8" w:rsidRPr="00E757B8" w:rsidRDefault="00E757B8" w:rsidP="008E1E54">
            <w:pPr>
              <w:pStyle w:val="a3"/>
              <w:numPr>
                <w:ilvl w:val="0"/>
                <w:numId w:val="37"/>
              </w:numPr>
              <w:spacing w:after="0" w:line="240" w:lineRule="auto"/>
              <w:rPr>
                <w:rFonts w:ascii="Times New Roman" w:eastAsia="Times New Roman" w:hAnsi="Times New Roman"/>
                <w:sz w:val="24"/>
                <w:szCs w:val="24"/>
                <w:lang w:eastAsia="ru-RU"/>
              </w:rPr>
            </w:pPr>
          </w:p>
        </w:tc>
        <w:tc>
          <w:tcPr>
            <w:tcW w:w="2693" w:type="dxa"/>
            <w:vAlign w:val="bottom"/>
          </w:tcPr>
          <w:p w:rsidR="00E757B8" w:rsidRPr="00E757B8" w:rsidRDefault="00E757B8">
            <w:pPr>
              <w:rPr>
                <w:color w:val="000000"/>
              </w:rPr>
            </w:pPr>
            <w:r w:rsidRPr="00E757B8">
              <w:rPr>
                <w:color w:val="000000"/>
              </w:rPr>
              <w:t>ГБОУ ООШ № 6 г. Новокуйбышевска</w:t>
            </w:r>
          </w:p>
        </w:tc>
        <w:tc>
          <w:tcPr>
            <w:tcW w:w="1560" w:type="dxa"/>
            <w:vAlign w:val="center"/>
          </w:tcPr>
          <w:p w:rsidR="00E757B8" w:rsidRPr="00E757B8" w:rsidRDefault="00E757B8" w:rsidP="00E757B8">
            <w:pPr>
              <w:jc w:val="center"/>
              <w:rPr>
                <w:color w:val="000000"/>
              </w:rPr>
            </w:pPr>
            <w:r w:rsidRPr="00E757B8">
              <w:rPr>
                <w:color w:val="000000"/>
              </w:rPr>
              <w:t>0,0%</w:t>
            </w:r>
          </w:p>
        </w:tc>
        <w:tc>
          <w:tcPr>
            <w:tcW w:w="2126" w:type="dxa"/>
            <w:vAlign w:val="center"/>
          </w:tcPr>
          <w:p w:rsidR="00E757B8" w:rsidRPr="00E757B8" w:rsidRDefault="00E757B8" w:rsidP="00E757B8">
            <w:pPr>
              <w:jc w:val="center"/>
              <w:rPr>
                <w:color w:val="000000"/>
              </w:rPr>
            </w:pPr>
            <w:r w:rsidRPr="00E757B8">
              <w:rPr>
                <w:color w:val="000000"/>
              </w:rPr>
              <w:t>100,0%</w:t>
            </w:r>
          </w:p>
        </w:tc>
        <w:tc>
          <w:tcPr>
            <w:tcW w:w="2268" w:type="dxa"/>
            <w:vAlign w:val="center"/>
          </w:tcPr>
          <w:p w:rsidR="00E757B8" w:rsidRPr="00E757B8" w:rsidRDefault="00E757B8" w:rsidP="00E757B8">
            <w:pPr>
              <w:jc w:val="center"/>
              <w:rPr>
                <w:color w:val="000000"/>
              </w:rPr>
            </w:pPr>
            <w:r w:rsidRPr="00E757B8">
              <w:rPr>
                <w:color w:val="000000"/>
              </w:rPr>
              <w:t>100,0%</w:t>
            </w:r>
          </w:p>
        </w:tc>
      </w:tr>
    </w:tbl>
    <w:p w:rsidR="00094A1E" w:rsidRDefault="00094A1E" w:rsidP="00D831A4">
      <w:pPr>
        <w:rPr>
          <w:rFonts w:eastAsia="Times New Roman"/>
        </w:rPr>
      </w:pPr>
      <w:bookmarkStart w:id="4" w:name="_Toc395183674"/>
      <w:bookmarkStart w:id="5" w:name="_Toc423954908"/>
      <w:bookmarkStart w:id="6"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FA5950" w:rsidRPr="002178E5">
        <w:rPr>
          <w:rFonts w:ascii="Times New Roman" w:eastAsia="Times New Roman" w:hAnsi="Times New Roman"/>
          <w:i/>
          <w:sz w:val="24"/>
          <w:szCs w:val="24"/>
          <w:lang w:eastAsia="ru-RU"/>
        </w:rPr>
        <w:t xml:space="preserve">ОО </w:t>
      </w:r>
      <w:r w:rsidR="00FA5950">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DC5DDB" w:rsidTr="008E1E54">
        <w:trPr>
          <w:cantSplit/>
          <w:tblHeader/>
        </w:trPr>
        <w:tc>
          <w:tcPr>
            <w:tcW w:w="709"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2552"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1701"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rsidR="000E0643" w:rsidRP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E757B8" w:rsidRPr="00DC5DDB" w:rsidTr="00E757B8">
        <w:trPr>
          <w:trHeight w:val="451"/>
        </w:trPr>
        <w:tc>
          <w:tcPr>
            <w:tcW w:w="709" w:type="dxa"/>
            <w:vAlign w:val="center"/>
          </w:tcPr>
          <w:p w:rsidR="00E757B8" w:rsidRPr="002E7BE3" w:rsidRDefault="00E757B8"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E757B8" w:rsidRPr="00E757B8" w:rsidRDefault="00E757B8" w:rsidP="00E757B8">
            <w:pPr>
              <w:rPr>
                <w:rFonts w:eastAsia="Calibri"/>
                <w:color w:val="000000"/>
              </w:rPr>
            </w:pPr>
            <w:r w:rsidRPr="00E757B8">
              <w:rPr>
                <w:color w:val="000000"/>
              </w:rPr>
              <w:t>ГБОУ ООШ № 18 г. Новокуйбышевска</w:t>
            </w:r>
          </w:p>
        </w:tc>
        <w:tc>
          <w:tcPr>
            <w:tcW w:w="1701" w:type="dxa"/>
            <w:vAlign w:val="center"/>
          </w:tcPr>
          <w:p w:rsidR="00E757B8" w:rsidRPr="00E757B8" w:rsidRDefault="00E757B8" w:rsidP="00E757B8">
            <w:pPr>
              <w:jc w:val="center"/>
              <w:rPr>
                <w:rFonts w:eastAsia="Calibri"/>
                <w:color w:val="000000"/>
              </w:rPr>
            </w:pPr>
            <w:r w:rsidRPr="00E757B8">
              <w:rPr>
                <w:rFonts w:eastAsia="Calibri"/>
                <w:color w:val="000000"/>
              </w:rPr>
              <w:t>0,0%</w:t>
            </w:r>
          </w:p>
        </w:tc>
        <w:tc>
          <w:tcPr>
            <w:tcW w:w="2126" w:type="dxa"/>
            <w:vAlign w:val="center"/>
          </w:tcPr>
          <w:p w:rsidR="00E757B8" w:rsidRPr="00E757B8" w:rsidRDefault="00E757B8" w:rsidP="00E757B8">
            <w:pPr>
              <w:jc w:val="center"/>
              <w:rPr>
                <w:color w:val="000000"/>
              </w:rPr>
            </w:pPr>
            <w:r w:rsidRPr="00E757B8">
              <w:rPr>
                <w:color w:val="000000"/>
              </w:rPr>
              <w:t>50,0%</w:t>
            </w:r>
          </w:p>
        </w:tc>
        <w:tc>
          <w:tcPr>
            <w:tcW w:w="2268" w:type="dxa"/>
            <w:vAlign w:val="center"/>
          </w:tcPr>
          <w:p w:rsidR="00E757B8" w:rsidRPr="00E757B8" w:rsidRDefault="00E757B8" w:rsidP="00E757B8">
            <w:pPr>
              <w:jc w:val="center"/>
              <w:rPr>
                <w:color w:val="000000"/>
              </w:rPr>
            </w:pPr>
            <w:r w:rsidRPr="00E757B8">
              <w:rPr>
                <w:color w:val="000000"/>
              </w:rPr>
              <w:t>100,0%</w:t>
            </w:r>
          </w:p>
        </w:tc>
      </w:tr>
      <w:bookmarkEnd w:id="4"/>
      <w:bookmarkEnd w:id="5"/>
      <w:bookmarkEnd w:id="6"/>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956118" w:rsidRDefault="00BE42D2" w:rsidP="002E7BE3">
      <w:pPr>
        <w:spacing w:line="360" w:lineRule="auto"/>
        <w:jc w:val="both"/>
        <w:rPr>
          <w:b/>
        </w:rPr>
      </w:pPr>
      <w:bookmarkStart w:id="7" w:name="_GoBack"/>
      <w:bookmarkEnd w:id="7"/>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2E233D" w:rsidRPr="002E233D" w:rsidRDefault="002E233D" w:rsidP="002E233D">
      <w:pPr>
        <w:spacing w:line="360" w:lineRule="auto"/>
        <w:ind w:firstLine="708"/>
        <w:jc w:val="both"/>
      </w:pPr>
      <w:r w:rsidRPr="002E233D">
        <w:lastRenderedPageBreak/>
        <w:t xml:space="preserve">В Поволжском управлении нет участников, получивших отметку «2» по химии с 2018 года. Количество участников, получивших максимальный балл </w:t>
      </w:r>
      <w:r>
        <w:t>в этом году нет, в 2022 году было</w:t>
      </w:r>
      <w:r w:rsidRPr="002E233D">
        <w:t xml:space="preserve">  2 человека.</w:t>
      </w:r>
    </w:p>
    <w:p w:rsidR="002E233D" w:rsidRPr="002E233D" w:rsidRDefault="002E233D" w:rsidP="002E233D">
      <w:pPr>
        <w:spacing w:line="360" w:lineRule="auto"/>
        <w:ind w:firstLine="708"/>
        <w:jc w:val="both"/>
        <w:rPr>
          <w:b/>
        </w:rPr>
      </w:pPr>
      <w:r w:rsidRPr="002E233D">
        <w:t>В сравнении с 20</w:t>
      </w:r>
      <w:r>
        <w:t>22</w:t>
      </w:r>
      <w:r w:rsidRPr="002E233D">
        <w:t xml:space="preserve"> годом по</w:t>
      </w:r>
      <w:r>
        <w:t>выси</w:t>
      </w:r>
      <w:r w:rsidRPr="002E233D">
        <w:t xml:space="preserve">лось качество обученности по </w:t>
      </w:r>
      <w:r w:rsidR="00821198">
        <w:t>химии</w:t>
      </w:r>
      <w:r w:rsidRPr="002E233D">
        <w:t xml:space="preserve">  выпускников 9 классов Поволжского управления на </w:t>
      </w:r>
      <w:r>
        <w:t>9</w:t>
      </w:r>
      <w:r w:rsidRPr="002E233D">
        <w:t>,</w:t>
      </w:r>
      <w:r>
        <w:t>1</w:t>
      </w:r>
      <w:r w:rsidRPr="002E233D">
        <w:t>% (20</w:t>
      </w:r>
      <w:r>
        <w:t>22</w:t>
      </w:r>
      <w:r w:rsidRPr="002E233D">
        <w:t xml:space="preserve">г.- </w:t>
      </w:r>
      <w:r>
        <w:rPr>
          <w:rFonts w:eastAsia="Times New Roman"/>
        </w:rPr>
        <w:t>71</w:t>
      </w:r>
      <w:r w:rsidRPr="002E233D">
        <w:rPr>
          <w:rFonts w:eastAsia="Times New Roman"/>
        </w:rPr>
        <w:t>,</w:t>
      </w:r>
      <w:r>
        <w:rPr>
          <w:rFonts w:eastAsia="Times New Roman"/>
        </w:rPr>
        <w:t>4</w:t>
      </w:r>
      <w:r w:rsidRPr="002E233D">
        <w:rPr>
          <w:rFonts w:eastAsia="Times New Roman"/>
        </w:rPr>
        <w:t>%), при этом уровень обученности по предмету с 2018 года составляет 100</w:t>
      </w:r>
      <w:r w:rsidRPr="002E233D">
        <w:t>%</w:t>
      </w:r>
      <w:r w:rsidRPr="002E233D">
        <w:rPr>
          <w:rFonts w:eastAsia="Times New Roman"/>
        </w:rPr>
        <w:t>.</w:t>
      </w:r>
    </w:p>
    <w:p w:rsidR="00821198" w:rsidRDefault="00F961EF" w:rsidP="00821198">
      <w:pPr>
        <w:spacing w:line="360" w:lineRule="auto"/>
        <w:ind w:firstLine="708"/>
        <w:jc w:val="both"/>
        <w:rPr>
          <w:rFonts w:eastAsia="Calibri"/>
        </w:rPr>
      </w:pPr>
      <w:r w:rsidRPr="00F961EF">
        <w:rPr>
          <w:rFonts w:eastAsia="Calibri"/>
        </w:rPr>
        <w:t xml:space="preserve">В текущем учебном году при проведении анализа результатов ОГЭ по </w:t>
      </w:r>
      <w:r w:rsidR="00821198">
        <w:rPr>
          <w:rFonts w:eastAsia="Calibri"/>
        </w:rPr>
        <w:t>химии</w:t>
      </w:r>
      <w:r w:rsidRPr="00F961EF">
        <w:rPr>
          <w:rFonts w:eastAsia="Calibri"/>
        </w:rPr>
        <w:t xml:space="preserve"> был выделен результат </w:t>
      </w:r>
      <w:r w:rsidR="00821198">
        <w:t>одного</w:t>
      </w:r>
      <w:r w:rsidRPr="00F961EF">
        <w:rPr>
          <w:rFonts w:eastAsia="Calibri"/>
        </w:rPr>
        <w:t xml:space="preserve"> выпускник</w:t>
      </w:r>
      <w:r w:rsidR="00821198">
        <w:rPr>
          <w:rFonts w:eastAsia="Calibri"/>
        </w:rPr>
        <w:t>а, преодолевшего</w:t>
      </w:r>
      <w:r w:rsidRPr="00F961EF">
        <w:rPr>
          <w:rFonts w:eastAsia="Calibri"/>
        </w:rPr>
        <w:t xml:space="preserve"> минимальную</w:t>
      </w:r>
      <w:r w:rsidR="00821198">
        <w:rPr>
          <w:rFonts w:eastAsia="Calibri"/>
        </w:rPr>
        <w:t xml:space="preserve"> границу с запасом в 1-2 балла. </w:t>
      </w:r>
      <w:r w:rsidRPr="00F961EF">
        <w:rPr>
          <w:rFonts w:eastAsia="Calibri"/>
        </w:rPr>
        <w:t xml:space="preserve">Это означает, что </w:t>
      </w:r>
      <w:r w:rsidR="00821198">
        <w:rPr>
          <w:rFonts w:eastAsia="Calibri"/>
        </w:rPr>
        <w:t>мог быть</w:t>
      </w:r>
      <w:r w:rsidRPr="00F961EF">
        <w:rPr>
          <w:rFonts w:eastAsia="Calibri"/>
        </w:rPr>
        <w:t xml:space="preserve"> участник с низким уровнем подготовки по предмету</w:t>
      </w:r>
      <w:r w:rsidR="00821198">
        <w:rPr>
          <w:rFonts w:eastAsia="Calibri"/>
        </w:rPr>
        <w:t>.</w:t>
      </w:r>
    </w:p>
    <w:p w:rsidR="00F961EF" w:rsidRPr="00F961EF" w:rsidRDefault="00F961EF" w:rsidP="00821198">
      <w:pPr>
        <w:spacing w:line="360" w:lineRule="auto"/>
        <w:ind w:firstLine="708"/>
        <w:jc w:val="both"/>
        <w:rPr>
          <w:rFonts w:eastAsia="Calibri"/>
        </w:rPr>
      </w:pPr>
      <w:r w:rsidRPr="00F961EF">
        <w:rPr>
          <w:rFonts w:eastAsia="Calibri"/>
        </w:rPr>
        <w:t xml:space="preserve">Количество участников экзамена с высоким уровнем подготовки по </w:t>
      </w:r>
      <w:r w:rsidR="00821198">
        <w:rPr>
          <w:rFonts w:eastAsia="Calibri"/>
        </w:rPr>
        <w:t>химии</w:t>
      </w:r>
      <w:r w:rsidRPr="00F961EF">
        <w:rPr>
          <w:rFonts w:eastAsia="Calibri"/>
        </w:rPr>
        <w:t xml:space="preserve"> в </w:t>
      </w:r>
      <w:r w:rsidR="00956118">
        <w:t>Поволжском образовательном округе</w:t>
      </w:r>
      <w:r w:rsidR="00A22450">
        <w:t xml:space="preserve"> составляет 3</w:t>
      </w:r>
      <w:r w:rsidR="00821198">
        <w:t>7</w:t>
      </w:r>
      <w:r w:rsidR="00A22450">
        <w:t>,</w:t>
      </w:r>
      <w:r w:rsidR="00821198">
        <w:t>7</w:t>
      </w:r>
      <w:r w:rsidR="00A22450">
        <w:t xml:space="preserve">%, однако </w:t>
      </w:r>
      <w:r w:rsidR="00821198">
        <w:t>20,4</w:t>
      </w:r>
      <w:r w:rsidRPr="00F961EF">
        <w:rPr>
          <w:rFonts w:eastAsia="Calibri"/>
        </w:rPr>
        <w:t>% (</w:t>
      </w:r>
      <w:r w:rsidR="00821198">
        <w:rPr>
          <w:rFonts w:eastAsia="Calibri"/>
        </w:rPr>
        <w:t>30</w:t>
      </w:r>
      <w:r w:rsidRPr="00F961EF">
        <w:rPr>
          <w:rFonts w:eastAsia="Calibri"/>
        </w:rPr>
        <w:t xml:space="preserve"> чел.) участников, </w:t>
      </w:r>
      <w:r w:rsidR="00821198">
        <w:rPr>
          <w:rFonts w:eastAsia="Calibri"/>
        </w:rPr>
        <w:t>не преодолели границу отметки «5», им не хватило 1-2 балла</w:t>
      </w:r>
      <w:r w:rsidR="00767F79">
        <w:t>.</w:t>
      </w:r>
    </w:p>
    <w:p w:rsidR="00F961EF" w:rsidRDefault="00F961EF" w:rsidP="00956118">
      <w:pPr>
        <w:pStyle w:val="Default"/>
        <w:spacing w:line="360" w:lineRule="auto"/>
        <w:ind w:firstLine="708"/>
        <w:jc w:val="both"/>
      </w:pPr>
      <w:r w:rsidRPr="00F961EF">
        <w:t xml:space="preserve">Таким образом, потенциально доля  участников, показывающих высокие результаты, в </w:t>
      </w:r>
      <w:r w:rsidR="00956118">
        <w:t>округе</w:t>
      </w:r>
      <w:r w:rsidRPr="00F961EF">
        <w:t xml:space="preserve"> может быть выше. Это следует учесть при организации работы с данной категорией участников следующего года.</w:t>
      </w:r>
    </w:p>
    <w:p w:rsidR="00E757B8" w:rsidRPr="00E757B8" w:rsidRDefault="00E757B8" w:rsidP="00E757B8">
      <w:pPr>
        <w:pStyle w:val="Default"/>
        <w:spacing w:line="360" w:lineRule="auto"/>
        <w:ind w:firstLine="709"/>
        <w:contextualSpacing/>
        <w:jc w:val="both"/>
        <w:rPr>
          <w:sz w:val="28"/>
          <w:szCs w:val="28"/>
        </w:rPr>
      </w:pPr>
      <w:r>
        <w:t>Также в округе есть учащиеся, преодолевшие границу высоких результатов с запасом 1-2 балла 14 чел. - 8,8%. Эти выпускники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5060D9" w:rsidRPr="00290F80" w:rsidRDefault="00F921F7" w:rsidP="00E757B8">
      <w:pPr>
        <w:spacing w:before="240"/>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F11973" w:rsidRPr="00BE42D2" w:rsidRDefault="00F11973" w:rsidP="00EB7C8C">
      <w:pPr>
        <w:pStyle w:val="a3"/>
        <w:spacing w:after="0" w:line="240" w:lineRule="auto"/>
        <w:ind w:left="0"/>
        <w:jc w:val="both"/>
        <w:rPr>
          <w:rFonts w:ascii="Times New Roman" w:eastAsia="Times New Roman" w:hAnsi="Times New Roman"/>
          <w:b/>
          <w:sz w:val="24"/>
          <w:szCs w:val="24"/>
          <w:lang w:eastAsia="ru-RU"/>
        </w:rPr>
      </w:pPr>
    </w:p>
    <w:p w:rsidR="00821198" w:rsidRPr="00821198" w:rsidRDefault="00821198" w:rsidP="00F11973">
      <w:pPr>
        <w:pStyle w:val="a3"/>
        <w:spacing w:after="0" w:line="360" w:lineRule="auto"/>
        <w:ind w:left="0" w:firstLine="709"/>
        <w:jc w:val="both"/>
        <w:rPr>
          <w:rFonts w:ascii="Times New Roman" w:hAnsi="Times New Roman"/>
          <w:sz w:val="24"/>
          <w:szCs w:val="24"/>
        </w:rPr>
      </w:pPr>
      <w:r w:rsidRPr="00821198">
        <w:rPr>
          <w:rFonts w:ascii="Times New Roman" w:hAnsi="Times New Roman"/>
          <w:sz w:val="24"/>
          <w:szCs w:val="24"/>
        </w:rPr>
        <w:t xml:space="preserve">КИМ 2023 года в сравнении </w:t>
      </w:r>
      <w:proofErr w:type="gramStart"/>
      <w:r w:rsidRPr="00821198">
        <w:rPr>
          <w:rFonts w:ascii="Times New Roman" w:hAnsi="Times New Roman"/>
          <w:sz w:val="24"/>
          <w:szCs w:val="24"/>
        </w:rPr>
        <w:t>с</w:t>
      </w:r>
      <w:proofErr w:type="gramEnd"/>
      <w:r w:rsidRPr="00821198">
        <w:rPr>
          <w:rFonts w:ascii="Times New Roman" w:hAnsi="Times New Roman"/>
          <w:sz w:val="24"/>
          <w:szCs w:val="24"/>
        </w:rPr>
        <w:t xml:space="preserve"> </w:t>
      </w:r>
      <w:proofErr w:type="gramStart"/>
      <w:r w:rsidRPr="00821198">
        <w:rPr>
          <w:rFonts w:ascii="Times New Roman" w:hAnsi="Times New Roman"/>
          <w:sz w:val="24"/>
          <w:szCs w:val="24"/>
        </w:rPr>
        <w:t>КИМ</w:t>
      </w:r>
      <w:proofErr w:type="gramEnd"/>
      <w:r w:rsidRPr="00821198">
        <w:rPr>
          <w:rFonts w:ascii="Times New Roman" w:hAnsi="Times New Roman"/>
          <w:sz w:val="24"/>
          <w:szCs w:val="24"/>
        </w:rPr>
        <w:t xml:space="preserve"> 2022 года  изменений не содержит. Существенным изменением в </w:t>
      </w:r>
      <w:proofErr w:type="spellStart"/>
      <w:r w:rsidRPr="00821198">
        <w:rPr>
          <w:rFonts w:ascii="Times New Roman" w:hAnsi="Times New Roman"/>
          <w:sz w:val="24"/>
          <w:szCs w:val="24"/>
        </w:rPr>
        <w:t>КИМах</w:t>
      </w:r>
      <w:proofErr w:type="spellEnd"/>
      <w:r w:rsidRPr="00821198">
        <w:rPr>
          <w:rFonts w:ascii="Times New Roman" w:hAnsi="Times New Roman"/>
          <w:sz w:val="24"/>
          <w:szCs w:val="24"/>
        </w:rPr>
        <w:t xml:space="preserve"> ОГЭ 2023 года по химии является то, что в первой части изменилось количество ответов. Если в ОГЭ прошлых лет в 7 заданиях необходимо было найти один ответ на поставленный вопрос, то теперь это два ответа, и если только один из указанных ответов правильный, то балл за данное задание ученик не получает. Таких заданий девять. Увеличилось количество заданий, где число ответов три, таких заданий было пять, стало семь. В задании номер 16 по теме: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w:t>
      </w:r>
      <w:r w:rsidRPr="00821198">
        <w:rPr>
          <w:rFonts w:ascii="Times New Roman" w:hAnsi="Times New Roman"/>
          <w:sz w:val="24"/>
          <w:szCs w:val="24"/>
        </w:rPr>
        <w:lastRenderedPageBreak/>
        <w:t>веществ и химических реакций в повседневной жизни» количество ответов не указано, в зависимости от варианта их может быть 1-3, и как видно по статистике, это задание имеет самый низкий процент выполнения.</w:t>
      </w:r>
    </w:p>
    <w:p w:rsidR="00821198" w:rsidRPr="00821198" w:rsidRDefault="00821198" w:rsidP="00821198">
      <w:pPr>
        <w:pStyle w:val="a3"/>
        <w:spacing w:line="360" w:lineRule="auto"/>
        <w:ind w:left="0" w:firstLine="709"/>
        <w:jc w:val="both"/>
        <w:rPr>
          <w:rFonts w:ascii="Times New Roman" w:hAnsi="Times New Roman"/>
          <w:sz w:val="24"/>
          <w:szCs w:val="24"/>
        </w:rPr>
      </w:pPr>
      <w:r w:rsidRPr="00821198">
        <w:rPr>
          <w:rFonts w:ascii="Times New Roman" w:hAnsi="Times New Roman"/>
          <w:sz w:val="24"/>
          <w:szCs w:val="24"/>
        </w:rPr>
        <w:t>Изменения в 2022 году произошли и в расчетных задачах в первой части. Раньше это была только задача на вычисление массовой доли элемента в соединении, теперь добавилась расчетная задача по теме</w:t>
      </w:r>
      <w:proofErr w:type="gramStart"/>
      <w:r w:rsidRPr="00821198">
        <w:rPr>
          <w:rFonts w:ascii="Times New Roman" w:hAnsi="Times New Roman"/>
          <w:sz w:val="24"/>
          <w:szCs w:val="24"/>
        </w:rPr>
        <w:t>:«</w:t>
      </w:r>
      <w:proofErr w:type="gramEnd"/>
      <w:r w:rsidRPr="00821198">
        <w:rPr>
          <w:rFonts w:ascii="Times New Roman" w:hAnsi="Times New Roman"/>
          <w:sz w:val="24"/>
          <w:szCs w:val="24"/>
        </w:rPr>
        <w:t>Химическое загрязнение окружающей среды и его последствия. Человек в мире веществ, материалов и химических реакций». Это еще одна расчётная задача, в которой используется величина массовой доли, высчитанная в предыдущей задаче.</w:t>
      </w:r>
    </w:p>
    <w:p w:rsidR="00821198" w:rsidRPr="00821198" w:rsidRDefault="00821198" w:rsidP="00821198">
      <w:pPr>
        <w:pStyle w:val="a3"/>
        <w:spacing w:line="360" w:lineRule="auto"/>
        <w:ind w:left="0" w:firstLine="709"/>
        <w:jc w:val="both"/>
        <w:rPr>
          <w:rFonts w:ascii="Times New Roman" w:hAnsi="Times New Roman"/>
          <w:sz w:val="24"/>
          <w:szCs w:val="24"/>
        </w:rPr>
      </w:pPr>
      <w:r w:rsidRPr="00821198">
        <w:rPr>
          <w:rFonts w:ascii="Times New Roman" w:hAnsi="Times New Roman"/>
          <w:sz w:val="24"/>
          <w:szCs w:val="24"/>
        </w:rPr>
        <w:t>Задания КИМ ОГЭ 2022 года по количеству заданий не изменились, но существенно возросла сложность выполнения тестовой части.</w:t>
      </w:r>
    </w:p>
    <w:p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tbl>
      <w:tblPr>
        <w:tblW w:w="10065" w:type="dxa"/>
        <w:tblInd w:w="-601" w:type="dxa"/>
        <w:tblLayout w:type="fixed"/>
        <w:tblLook w:val="0000"/>
      </w:tblPr>
      <w:tblGrid>
        <w:gridCol w:w="993"/>
        <w:gridCol w:w="2693"/>
        <w:gridCol w:w="1276"/>
        <w:gridCol w:w="1701"/>
        <w:gridCol w:w="850"/>
        <w:gridCol w:w="851"/>
        <w:gridCol w:w="850"/>
        <w:gridCol w:w="851"/>
      </w:tblGrid>
      <w:tr w:rsidR="005F4520" w:rsidRPr="002202D1" w:rsidTr="00E757B8">
        <w:trPr>
          <w:cantSplit/>
          <w:trHeight w:val="649"/>
          <w:tblHeader/>
        </w:trPr>
        <w:tc>
          <w:tcPr>
            <w:tcW w:w="993" w:type="dxa"/>
            <w:vMerge w:val="restart"/>
            <w:tcBorders>
              <w:top w:val="single" w:sz="8" w:space="0" w:color="000000"/>
              <w:left w:val="single" w:sz="8" w:space="0" w:color="000000"/>
              <w:right w:val="single" w:sz="8" w:space="0" w:color="000000"/>
            </w:tcBorders>
            <w:shd w:val="clear" w:color="auto" w:fill="auto"/>
            <w:vAlign w:val="center"/>
          </w:tcPr>
          <w:p w:rsidR="005F4520" w:rsidRPr="002202D1" w:rsidRDefault="005F4520" w:rsidP="00A969B0">
            <w:pPr>
              <w:jc w:val="center"/>
              <w:rPr>
                <w:b/>
                <w:sz w:val="18"/>
                <w:szCs w:val="18"/>
              </w:rPr>
            </w:pPr>
            <w:r w:rsidRPr="002202D1">
              <w:rPr>
                <w:b/>
                <w:bCs/>
                <w:sz w:val="18"/>
                <w:szCs w:val="18"/>
              </w:rPr>
              <w:t>Номер</w:t>
            </w:r>
          </w:p>
          <w:p w:rsidR="005F4520" w:rsidRPr="002202D1" w:rsidRDefault="005F4520" w:rsidP="00A969B0">
            <w:pPr>
              <w:jc w:val="center"/>
              <w:rPr>
                <w:b/>
                <w:sz w:val="18"/>
                <w:szCs w:val="18"/>
              </w:rPr>
            </w:pPr>
            <w:r w:rsidRPr="002202D1">
              <w:rPr>
                <w:b/>
                <w:bCs/>
                <w:sz w:val="18"/>
                <w:szCs w:val="18"/>
              </w:rPr>
              <w:t xml:space="preserve">задания </w:t>
            </w:r>
            <w:r w:rsidRPr="002202D1">
              <w:rPr>
                <w:b/>
                <w:bCs/>
                <w:sz w:val="18"/>
                <w:szCs w:val="18"/>
              </w:rPr>
              <w:br/>
            </w:r>
            <w:proofErr w:type="gramStart"/>
            <w:r w:rsidRPr="002202D1">
              <w:rPr>
                <w:b/>
                <w:bCs/>
                <w:sz w:val="18"/>
                <w:szCs w:val="18"/>
              </w:rPr>
              <w:t>в</w:t>
            </w:r>
            <w:proofErr w:type="gramEnd"/>
            <w:r w:rsidRPr="002202D1">
              <w:rPr>
                <w:b/>
                <w:bCs/>
                <w:sz w:val="18"/>
                <w:szCs w:val="18"/>
              </w:rPr>
              <w:t xml:space="preserve"> КИМ</w:t>
            </w:r>
          </w:p>
        </w:tc>
        <w:tc>
          <w:tcPr>
            <w:tcW w:w="2693" w:type="dxa"/>
            <w:vMerge w:val="restart"/>
            <w:tcBorders>
              <w:top w:val="single" w:sz="8" w:space="0" w:color="000000"/>
              <w:left w:val="single" w:sz="8" w:space="0" w:color="000000"/>
              <w:right w:val="single" w:sz="8" w:space="0" w:color="000000"/>
            </w:tcBorders>
            <w:shd w:val="clear" w:color="auto" w:fill="auto"/>
            <w:vAlign w:val="center"/>
          </w:tcPr>
          <w:p w:rsidR="005F4520" w:rsidRPr="002202D1" w:rsidRDefault="005F4520" w:rsidP="00A969B0">
            <w:pPr>
              <w:jc w:val="center"/>
              <w:rPr>
                <w:b/>
                <w:sz w:val="18"/>
                <w:szCs w:val="18"/>
              </w:rPr>
            </w:pPr>
            <w:r w:rsidRPr="002202D1">
              <w:rPr>
                <w:b/>
                <w:bCs/>
                <w:sz w:val="18"/>
                <w:szCs w:val="18"/>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shd w:val="clear" w:color="auto" w:fill="auto"/>
            <w:vAlign w:val="center"/>
          </w:tcPr>
          <w:p w:rsidR="005F4520" w:rsidRPr="002202D1" w:rsidRDefault="005F4520" w:rsidP="00A969B0">
            <w:pPr>
              <w:jc w:val="center"/>
              <w:rPr>
                <w:b/>
                <w:sz w:val="18"/>
                <w:szCs w:val="18"/>
              </w:rPr>
            </w:pPr>
            <w:r w:rsidRPr="002202D1">
              <w:rPr>
                <w:b/>
                <w:bCs/>
                <w:sz w:val="18"/>
                <w:szCs w:val="18"/>
              </w:rPr>
              <w:t>Уровень сложности задания</w:t>
            </w:r>
          </w:p>
        </w:tc>
        <w:tc>
          <w:tcPr>
            <w:tcW w:w="1701" w:type="dxa"/>
            <w:vMerge w:val="restart"/>
            <w:tcBorders>
              <w:top w:val="single" w:sz="8" w:space="0" w:color="000000"/>
              <w:left w:val="single" w:sz="8" w:space="0" w:color="000000"/>
              <w:right w:val="single" w:sz="4" w:space="0" w:color="auto"/>
            </w:tcBorders>
            <w:vAlign w:val="center"/>
          </w:tcPr>
          <w:p w:rsidR="005F4520" w:rsidRPr="002202D1" w:rsidRDefault="005F4520" w:rsidP="00A969B0">
            <w:pPr>
              <w:jc w:val="center"/>
              <w:rPr>
                <w:b/>
                <w:bCs/>
                <w:sz w:val="18"/>
                <w:szCs w:val="18"/>
              </w:rPr>
            </w:pPr>
            <w:r w:rsidRPr="002202D1">
              <w:rPr>
                <w:b/>
                <w:bCs/>
                <w:sz w:val="18"/>
                <w:szCs w:val="18"/>
              </w:rPr>
              <w:t>Средний процент выполнения</w:t>
            </w:r>
          </w:p>
        </w:tc>
        <w:tc>
          <w:tcPr>
            <w:tcW w:w="3402" w:type="dxa"/>
            <w:gridSpan w:val="4"/>
            <w:tcBorders>
              <w:top w:val="single" w:sz="8" w:space="0" w:color="000000"/>
              <w:left w:val="single" w:sz="4" w:space="0" w:color="auto"/>
              <w:bottom w:val="single" w:sz="8" w:space="0" w:color="000000"/>
              <w:right w:val="single" w:sz="8" w:space="0" w:color="000000"/>
            </w:tcBorders>
            <w:vAlign w:val="center"/>
          </w:tcPr>
          <w:p w:rsidR="005F4520" w:rsidRPr="002202D1" w:rsidRDefault="005F4520" w:rsidP="00A969B0">
            <w:pPr>
              <w:jc w:val="center"/>
              <w:rPr>
                <w:b/>
                <w:bCs/>
                <w:sz w:val="18"/>
                <w:szCs w:val="18"/>
              </w:rPr>
            </w:pPr>
            <w:r w:rsidRPr="002202D1">
              <w:rPr>
                <w:b/>
                <w:sz w:val="18"/>
                <w:szCs w:val="18"/>
              </w:rPr>
              <w:t>Процент выполнения по региону в группах, получивших отметку</w:t>
            </w:r>
          </w:p>
        </w:tc>
      </w:tr>
      <w:tr w:rsidR="005F4520" w:rsidRPr="002202D1" w:rsidTr="00E757B8">
        <w:trPr>
          <w:cantSplit/>
          <w:trHeight w:val="481"/>
          <w:tblHeader/>
        </w:trPr>
        <w:tc>
          <w:tcPr>
            <w:tcW w:w="993" w:type="dxa"/>
            <w:vMerge/>
            <w:tcBorders>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jc w:val="center"/>
              <w:rPr>
                <w:b/>
                <w:bCs/>
                <w:sz w:val="18"/>
                <w:szCs w:val="18"/>
              </w:rPr>
            </w:pPr>
          </w:p>
        </w:tc>
        <w:tc>
          <w:tcPr>
            <w:tcW w:w="2693" w:type="dxa"/>
            <w:vMerge/>
            <w:tcBorders>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jc w:val="center"/>
              <w:rPr>
                <w:b/>
                <w:bCs/>
                <w:sz w:val="18"/>
                <w:szCs w:val="18"/>
              </w:rPr>
            </w:pPr>
          </w:p>
        </w:tc>
        <w:tc>
          <w:tcPr>
            <w:tcW w:w="1276" w:type="dxa"/>
            <w:vMerge/>
            <w:tcBorders>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jc w:val="center"/>
              <w:rPr>
                <w:b/>
                <w:bCs/>
                <w:sz w:val="18"/>
                <w:szCs w:val="18"/>
              </w:rPr>
            </w:pPr>
          </w:p>
        </w:tc>
        <w:tc>
          <w:tcPr>
            <w:tcW w:w="1701" w:type="dxa"/>
            <w:vMerge/>
            <w:tcBorders>
              <w:left w:val="single" w:sz="8" w:space="0" w:color="000000"/>
              <w:bottom w:val="single" w:sz="8" w:space="0" w:color="000000"/>
              <w:right w:val="single" w:sz="4" w:space="0" w:color="auto"/>
            </w:tcBorders>
            <w:vAlign w:val="center"/>
          </w:tcPr>
          <w:p w:rsidR="005F4520" w:rsidRPr="002202D1" w:rsidRDefault="005F4520" w:rsidP="00A969B0">
            <w:pPr>
              <w:jc w:val="center"/>
              <w:rPr>
                <w:b/>
                <w:sz w:val="18"/>
                <w:szCs w:val="18"/>
              </w:rPr>
            </w:pPr>
          </w:p>
        </w:tc>
        <w:tc>
          <w:tcPr>
            <w:tcW w:w="850" w:type="dxa"/>
            <w:tcBorders>
              <w:top w:val="single" w:sz="8" w:space="0" w:color="000000"/>
              <w:left w:val="single" w:sz="4" w:space="0" w:color="auto"/>
              <w:bottom w:val="single" w:sz="8" w:space="0" w:color="000000"/>
              <w:right w:val="single" w:sz="8" w:space="0" w:color="000000"/>
            </w:tcBorders>
            <w:vAlign w:val="center"/>
          </w:tcPr>
          <w:p w:rsidR="005F4520" w:rsidRPr="002202D1" w:rsidRDefault="005F4520" w:rsidP="00A969B0">
            <w:pPr>
              <w:jc w:val="center"/>
              <w:rPr>
                <w:b/>
                <w:bCs/>
                <w:sz w:val="18"/>
                <w:szCs w:val="18"/>
              </w:rPr>
            </w:pPr>
            <w:r w:rsidRPr="002202D1">
              <w:rPr>
                <w:b/>
                <w:bCs/>
                <w:sz w:val="18"/>
                <w:szCs w:val="18"/>
              </w:rPr>
              <w:t>«2»</w:t>
            </w:r>
          </w:p>
        </w:tc>
        <w:tc>
          <w:tcPr>
            <w:tcW w:w="851" w:type="dxa"/>
            <w:tcBorders>
              <w:top w:val="single" w:sz="8" w:space="0" w:color="000000"/>
              <w:left w:val="single" w:sz="8" w:space="0" w:color="000000"/>
              <w:bottom w:val="single" w:sz="8" w:space="0" w:color="000000"/>
              <w:right w:val="single" w:sz="8" w:space="0" w:color="000000"/>
            </w:tcBorders>
            <w:vAlign w:val="center"/>
          </w:tcPr>
          <w:p w:rsidR="005F4520" w:rsidRPr="002202D1" w:rsidRDefault="005F4520" w:rsidP="00A969B0">
            <w:pPr>
              <w:jc w:val="center"/>
              <w:rPr>
                <w:b/>
                <w:bCs/>
                <w:sz w:val="18"/>
                <w:szCs w:val="18"/>
              </w:rPr>
            </w:pPr>
            <w:r w:rsidRPr="002202D1">
              <w:rPr>
                <w:b/>
                <w:bCs/>
                <w:sz w:val="18"/>
                <w:szCs w:val="18"/>
              </w:rPr>
              <w:t>«3»</w:t>
            </w:r>
          </w:p>
        </w:tc>
        <w:tc>
          <w:tcPr>
            <w:tcW w:w="850" w:type="dxa"/>
            <w:tcBorders>
              <w:top w:val="single" w:sz="8" w:space="0" w:color="000000"/>
              <w:left w:val="single" w:sz="8" w:space="0" w:color="000000"/>
              <w:bottom w:val="single" w:sz="8" w:space="0" w:color="000000"/>
              <w:right w:val="single" w:sz="4" w:space="0" w:color="auto"/>
            </w:tcBorders>
            <w:vAlign w:val="center"/>
          </w:tcPr>
          <w:p w:rsidR="005F4520" w:rsidRPr="002202D1" w:rsidRDefault="005F4520" w:rsidP="00A969B0">
            <w:pPr>
              <w:jc w:val="center"/>
              <w:rPr>
                <w:b/>
                <w:bCs/>
                <w:sz w:val="18"/>
                <w:szCs w:val="18"/>
              </w:rPr>
            </w:pPr>
            <w:r w:rsidRPr="002202D1">
              <w:rPr>
                <w:b/>
                <w:bCs/>
                <w:sz w:val="18"/>
                <w:szCs w:val="18"/>
              </w:rPr>
              <w:t>«4»</w:t>
            </w:r>
          </w:p>
        </w:tc>
        <w:tc>
          <w:tcPr>
            <w:tcW w:w="851" w:type="dxa"/>
            <w:tcBorders>
              <w:top w:val="single" w:sz="8" w:space="0" w:color="000000"/>
              <w:left w:val="single" w:sz="4" w:space="0" w:color="auto"/>
              <w:bottom w:val="single" w:sz="8" w:space="0" w:color="000000"/>
              <w:right w:val="single" w:sz="8" w:space="0" w:color="000000"/>
            </w:tcBorders>
            <w:vAlign w:val="center"/>
          </w:tcPr>
          <w:p w:rsidR="005F4520" w:rsidRPr="002202D1" w:rsidRDefault="005F4520" w:rsidP="00A969B0">
            <w:pPr>
              <w:jc w:val="center"/>
              <w:rPr>
                <w:b/>
                <w:bCs/>
                <w:sz w:val="18"/>
                <w:szCs w:val="18"/>
              </w:rPr>
            </w:pPr>
            <w:r w:rsidRPr="002202D1">
              <w:rPr>
                <w:b/>
                <w:bCs/>
                <w:sz w:val="18"/>
                <w:szCs w:val="18"/>
              </w:rPr>
              <w:t>«5»</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Атомы и  молекулы. Химический элемент. Простые и сложные вещества</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49,7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A969B0">
            <w:pPr>
              <w:jc w:val="center"/>
              <w:rPr>
                <w:color w:val="00000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29,0</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42,6</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68,3</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 xml:space="preserve">Строение атома. Строение электронных оболочек атомов первых 20 химических элементов Периодической системы </w:t>
            </w:r>
          </w:p>
          <w:p w:rsidR="005F4520" w:rsidRPr="002202D1" w:rsidRDefault="005F4520" w:rsidP="00A969B0">
            <w:pPr>
              <w:ind w:firstLine="67"/>
              <w:jc w:val="center"/>
              <w:rPr>
                <w:sz w:val="18"/>
                <w:szCs w:val="18"/>
              </w:rPr>
            </w:pPr>
            <w:r w:rsidRPr="002202D1">
              <w:rPr>
                <w:sz w:val="18"/>
                <w:szCs w:val="18"/>
              </w:rPr>
              <w:t>Д.И. Менделеева. Группы и периоды Периодической системы. Физический смысл порядкового</w:t>
            </w:r>
            <w:r w:rsidRPr="002202D1">
              <w:rPr>
                <w:sz w:val="18"/>
                <w:szCs w:val="18"/>
              </w:rPr>
              <w:br/>
              <w:t>номера химического элемента</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75,5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51,6</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70,6</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93,3</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Закономерности изменения свойств элементов в связи с   положением  в  Периодической       системе Д.И. Менделеева</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79,9</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74,2</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75,0</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88,3</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Валентность. Степень окисления химических элементов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proofErr w:type="gramStart"/>
            <w:r w:rsidRPr="002202D1">
              <w:rPr>
                <w:sz w:val="18"/>
                <w:szCs w:val="18"/>
              </w:rPr>
              <w:t>П</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87,4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72,6</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86,8</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95,8</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Строение вещества.   Химическая   связь:   ковалентная (полярная и неполярная), ионная, металлическая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88,7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71,0</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89,7</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96,7</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 xml:space="preserve">Строение атома. Строение электронных оболочек атомов первых 20 химических элементов Периодической системы </w:t>
            </w:r>
          </w:p>
          <w:p w:rsidR="005F4520" w:rsidRPr="002202D1" w:rsidRDefault="005F4520" w:rsidP="00A969B0">
            <w:pPr>
              <w:ind w:firstLine="67"/>
              <w:jc w:val="center"/>
              <w:rPr>
                <w:sz w:val="18"/>
                <w:szCs w:val="18"/>
              </w:rPr>
            </w:pPr>
            <w:r w:rsidRPr="002202D1">
              <w:rPr>
                <w:sz w:val="18"/>
                <w:szCs w:val="18"/>
              </w:rPr>
              <w:t xml:space="preserve">Д.И. Менделеева. Закономерности изменения свойств элементов в связи с положением в Периодической системе </w:t>
            </w:r>
          </w:p>
          <w:p w:rsidR="005F4520" w:rsidRPr="002202D1" w:rsidRDefault="005F4520" w:rsidP="00A969B0">
            <w:pPr>
              <w:ind w:firstLine="67"/>
              <w:jc w:val="center"/>
              <w:rPr>
                <w:sz w:val="18"/>
                <w:szCs w:val="18"/>
              </w:rPr>
            </w:pPr>
            <w:r w:rsidRPr="002202D1">
              <w:rPr>
                <w:sz w:val="18"/>
                <w:szCs w:val="18"/>
              </w:rPr>
              <w:t>Д.И. Менделеева</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82,4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67,7</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79,4</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93,3</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 xml:space="preserve">Классификация и </w:t>
            </w:r>
            <w:r w:rsidRPr="002202D1">
              <w:rPr>
                <w:sz w:val="18"/>
                <w:szCs w:val="18"/>
              </w:rPr>
              <w:lastRenderedPageBreak/>
              <w:t>номенклатура неорганических веществ</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lastRenderedPageBreak/>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76,7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67,7</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67,6</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91,7</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lastRenderedPageBreak/>
              <w:t>8</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 xml:space="preserve">Химические свойства простых веществ. Химические свойства оксидов: оснόвных, </w:t>
            </w:r>
            <w:proofErr w:type="spellStart"/>
            <w:r w:rsidRPr="002202D1">
              <w:rPr>
                <w:sz w:val="18"/>
                <w:szCs w:val="18"/>
              </w:rPr>
              <w:t>амфотерных</w:t>
            </w:r>
            <w:proofErr w:type="spellEnd"/>
            <w:r w:rsidRPr="002202D1">
              <w:rPr>
                <w:sz w:val="18"/>
                <w:szCs w:val="18"/>
              </w:rPr>
              <w:t>, кислотных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47,8</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19,4</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36,8</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75,0</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Химические свойства простых веществ. Химические свойства сложных веществ</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proofErr w:type="gramStart"/>
            <w:r w:rsidRPr="002202D1">
              <w:rPr>
                <w:sz w:val="18"/>
                <w:szCs w:val="18"/>
              </w:rPr>
              <w:t>П</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58,2</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17,7</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53,7</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84,2</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Химические свойства простых веществ. Химические свойства сложных веществ</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proofErr w:type="gramStart"/>
            <w:r w:rsidRPr="002202D1">
              <w:rPr>
                <w:sz w:val="18"/>
                <w:szCs w:val="18"/>
              </w:rPr>
              <w:t>П</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49,1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19,4</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43,4</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70,8</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11</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93,7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77,4</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95,6</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100,0</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Химическая реакция. Условия и признаки протекания химических реакций. Химические уравнения. Сохранение массы веще</w:t>
            </w:r>
            <w:proofErr w:type="gramStart"/>
            <w:r w:rsidRPr="002202D1">
              <w:rPr>
                <w:sz w:val="18"/>
                <w:szCs w:val="18"/>
              </w:rPr>
              <w:t>ств пр</w:t>
            </w:r>
            <w:proofErr w:type="gramEnd"/>
            <w:r w:rsidRPr="002202D1">
              <w:rPr>
                <w:sz w:val="18"/>
                <w:szCs w:val="18"/>
              </w:rPr>
              <w:t>и химических реакциях</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proofErr w:type="gramStart"/>
            <w:r w:rsidRPr="002202D1">
              <w:rPr>
                <w:sz w:val="18"/>
                <w:szCs w:val="18"/>
              </w:rPr>
              <w:t>П</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62,3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25,8</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62,5</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80,8</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 xml:space="preserve">Электролиты и </w:t>
            </w:r>
            <w:proofErr w:type="spellStart"/>
            <w:r w:rsidRPr="002202D1">
              <w:rPr>
                <w:sz w:val="18"/>
                <w:szCs w:val="18"/>
              </w:rPr>
              <w:t>неэлектролиты</w:t>
            </w:r>
            <w:proofErr w:type="spellEnd"/>
            <w:r w:rsidRPr="002202D1">
              <w:rPr>
                <w:sz w:val="18"/>
                <w:szCs w:val="18"/>
              </w:rPr>
              <w:t>. Катионы и анионы. Электролитическая диссоциация кислот, щёлочей и солей (средних)</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70,4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22,6</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69,1</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96,7</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Реакц</w:t>
            </w:r>
            <w:proofErr w:type="gramStart"/>
            <w:r w:rsidRPr="002202D1">
              <w:rPr>
                <w:sz w:val="18"/>
                <w:szCs w:val="18"/>
              </w:rPr>
              <w:t>ии ио</w:t>
            </w:r>
            <w:proofErr w:type="gramEnd"/>
            <w:r w:rsidRPr="002202D1">
              <w:rPr>
                <w:sz w:val="18"/>
                <w:szCs w:val="18"/>
              </w:rPr>
              <w:t>нного обмена и условия их осуществления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69,8</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32,3</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69,1</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90,0</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15</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Окислительно-восстановительные реакции. Окислитель и восстановитель</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85,5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71,0</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80,9</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98,3</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16</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27,0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25,8</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25,0</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30,0</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17</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Определение характера среды раствора кислот и щёлочей с помощью индикаторов. Качественные реакции на ионы в растворе (хлорид-, сульфат-, карбонат-, фосфа</w:t>
            </w:r>
            <w:proofErr w:type="gramStart"/>
            <w:r w:rsidRPr="002202D1">
              <w:rPr>
                <w:sz w:val="18"/>
                <w:szCs w:val="18"/>
              </w:rPr>
              <w:t>т-</w:t>
            </w:r>
            <w:proofErr w:type="gramEnd"/>
            <w:r w:rsidRPr="002202D1">
              <w:rPr>
                <w:sz w:val="18"/>
                <w:szCs w:val="18"/>
              </w:rPr>
              <w:t xml:space="preserve">, гидроксид-ионы; ионы аммония, бария, серебра, кальция, меди и железа). Получение газообразных веществ. </w:t>
            </w:r>
            <w:r w:rsidRPr="002202D1">
              <w:rPr>
                <w:sz w:val="18"/>
                <w:szCs w:val="18"/>
              </w:rPr>
              <w:lastRenderedPageBreak/>
              <w:t>Качественные реакции на газообразные вещества (кислород, водород, углекислый газ, аммиак)</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proofErr w:type="gramStart"/>
            <w:r w:rsidRPr="002202D1">
              <w:rPr>
                <w:sz w:val="18"/>
                <w:szCs w:val="18"/>
              </w:rPr>
              <w:lastRenderedPageBreak/>
              <w:t>П</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48,7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16,1</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47,8</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66,7</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lastRenderedPageBreak/>
              <w:t>18</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Вычисление массовой доли химического элемента в веществе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86,2</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61,3</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86,8</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98,3</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19</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Химическое загрязнение окружающей   среды и его последствия. Человек в мире веществ, материалов и химических реакций</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Б</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46,5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19,4</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41,2</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66,7</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20</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Окислительно-восстановительные реакции. Окислитель и восстановитель</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В</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79,7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38,7</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84,3</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95,6</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Взаимосвязь различных классов неорганических веществ. Реакц</w:t>
            </w:r>
            <w:proofErr w:type="gramStart"/>
            <w:r w:rsidRPr="002202D1">
              <w:rPr>
                <w:sz w:val="18"/>
                <w:szCs w:val="18"/>
              </w:rPr>
              <w:t>ии ио</w:t>
            </w:r>
            <w:proofErr w:type="gramEnd"/>
            <w:r w:rsidRPr="002202D1">
              <w:rPr>
                <w:sz w:val="18"/>
                <w:szCs w:val="18"/>
              </w:rPr>
              <w:t>нного обмена и условия их осуществления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В</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57,4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7,3</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53,3</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87,9</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22</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w:t>
            </w:r>
            <w:r w:rsidRPr="002202D1">
              <w:rPr>
                <w:sz w:val="18"/>
                <w:szCs w:val="18"/>
              </w:rPr>
              <w:br/>
              <w:t>массовой доли растворённого вещества в растворе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В</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56,4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5,4</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50,0</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90,0</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Решение экспериментальных задач по теме «Неметаллы IV–VII групп и их соединений»; «Металлы и их соединения». Качественные реакции на ионы в растворе (хлорид-, иодид-, сульфат-, карбонат-, силикат-, фосфа</w:t>
            </w:r>
            <w:proofErr w:type="gramStart"/>
            <w:r w:rsidRPr="002202D1">
              <w:rPr>
                <w:sz w:val="18"/>
                <w:szCs w:val="18"/>
              </w:rPr>
              <w:t>т-</w:t>
            </w:r>
            <w:proofErr w:type="gramEnd"/>
            <w:r w:rsidRPr="002202D1">
              <w:rPr>
                <w:sz w:val="18"/>
                <w:szCs w:val="18"/>
              </w:rPr>
              <w:t>, гидроксид-ионы; ион аммония; катионы изученных металлов, а также бария, серебра, кальция, меди и железа)</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В</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91,4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79,8</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89,7</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99,2</w:t>
            </w:r>
          </w:p>
        </w:tc>
      </w:tr>
      <w:tr w:rsidR="005F4520" w:rsidTr="00E757B8">
        <w:trPr>
          <w:trHeight w:val="226"/>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24</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firstLine="67"/>
              <w:jc w:val="center"/>
              <w:rPr>
                <w:sz w:val="18"/>
                <w:szCs w:val="18"/>
              </w:rPr>
            </w:pPr>
            <w:r w:rsidRPr="002202D1">
              <w:rPr>
                <w:sz w:val="18"/>
                <w:szCs w:val="18"/>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Pr="002202D1" w:rsidRDefault="005F4520" w:rsidP="00A969B0">
            <w:pPr>
              <w:ind w:hanging="112"/>
              <w:jc w:val="center"/>
              <w:rPr>
                <w:sz w:val="18"/>
                <w:szCs w:val="18"/>
              </w:rPr>
            </w:pPr>
            <w:r w:rsidRPr="002202D1">
              <w:rPr>
                <w:sz w:val="18"/>
                <w:szCs w:val="18"/>
              </w:rPr>
              <w:t>В</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98,7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pPr>
            <w:r w:rsidRPr="00755F78">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96,8</w:t>
            </w:r>
          </w:p>
        </w:tc>
        <w:tc>
          <w:tcPr>
            <w:tcW w:w="850" w:type="dxa"/>
            <w:tcBorders>
              <w:top w:val="single" w:sz="8" w:space="0" w:color="000000"/>
              <w:left w:val="single" w:sz="8" w:space="0" w:color="000000"/>
              <w:bottom w:val="single" w:sz="8" w:space="0" w:color="000000"/>
              <w:right w:val="single" w:sz="4" w:space="0" w:color="auto"/>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99,3</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rsidR="005F4520" w:rsidRDefault="005F4520" w:rsidP="005F4520">
            <w:pPr>
              <w:jc w:val="center"/>
              <w:rPr>
                <w:rFonts w:ascii="Arial" w:hAnsi="Arial" w:cs="Arial"/>
                <w:sz w:val="20"/>
                <w:szCs w:val="20"/>
              </w:rPr>
            </w:pPr>
            <w:r>
              <w:rPr>
                <w:rFonts w:ascii="Arial" w:hAnsi="Arial" w:cs="Arial"/>
                <w:sz w:val="20"/>
                <w:szCs w:val="20"/>
              </w:rPr>
              <w:t>99,2</w:t>
            </w:r>
          </w:p>
        </w:tc>
      </w:tr>
    </w:tbl>
    <w:p w:rsidR="005F4520" w:rsidRDefault="005F4520" w:rsidP="005F4520"/>
    <w:p w:rsidR="00D34230" w:rsidRDefault="00D34230" w:rsidP="00D34230">
      <w:pPr>
        <w:spacing w:line="360" w:lineRule="auto"/>
        <w:ind w:firstLine="709"/>
        <w:jc w:val="both"/>
      </w:pPr>
      <w:r w:rsidRPr="00D34230">
        <w:t xml:space="preserve">На базовом уровне задание № 16 </w:t>
      </w:r>
      <w:r w:rsidR="00D43B18" w:rsidRPr="00EB67EC">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r w:rsidR="00D43B18">
        <w:t xml:space="preserve"> </w:t>
      </w:r>
      <w:r w:rsidRPr="00D34230">
        <w:t>выполнено с самым низким процентом – 2</w:t>
      </w:r>
      <w:r>
        <w:t>7</w:t>
      </w:r>
      <w:r w:rsidRPr="00D34230">
        <w:t xml:space="preserve">%, </w:t>
      </w:r>
      <w:r w:rsidR="00D11AA8" w:rsidRPr="009C1275">
        <w:rPr>
          <w:iCs/>
        </w:rPr>
        <w:t xml:space="preserve"> </w:t>
      </w:r>
      <w:r w:rsidR="00D11AA8">
        <w:rPr>
          <w:iCs/>
        </w:rPr>
        <w:t xml:space="preserve">во всех </w:t>
      </w:r>
      <w:r w:rsidR="00D11AA8" w:rsidRPr="009C1275">
        <w:rPr>
          <w:iCs/>
        </w:rPr>
        <w:t>групп</w:t>
      </w:r>
      <w:r w:rsidR="00D11AA8">
        <w:rPr>
          <w:iCs/>
        </w:rPr>
        <w:t>ах</w:t>
      </w:r>
      <w:r w:rsidR="00D11AA8" w:rsidRPr="009C1275">
        <w:rPr>
          <w:iCs/>
        </w:rPr>
        <w:t xml:space="preserve"> лиц, получивших по экзамену оценк</w:t>
      </w:r>
      <w:r w:rsidR="00D11AA8">
        <w:rPr>
          <w:iCs/>
        </w:rPr>
        <w:t>и</w:t>
      </w:r>
      <w:r w:rsidR="00D11AA8" w:rsidRPr="009C1275">
        <w:rPr>
          <w:iCs/>
        </w:rPr>
        <w:t xml:space="preserve"> «</w:t>
      </w:r>
      <w:r w:rsidR="00D11AA8">
        <w:rPr>
          <w:iCs/>
        </w:rPr>
        <w:t>3</w:t>
      </w:r>
      <w:r w:rsidR="00D11AA8" w:rsidRPr="009C1275">
        <w:rPr>
          <w:iCs/>
        </w:rPr>
        <w:t>»</w:t>
      </w:r>
      <w:r w:rsidR="00D11AA8">
        <w:rPr>
          <w:iCs/>
        </w:rPr>
        <w:t>, «4» и «5» (25,8%, 25% и 30% соответственно). З</w:t>
      </w:r>
      <w:r w:rsidRPr="00D34230">
        <w:t xml:space="preserve">адание № 19 выполнено с процентом </w:t>
      </w:r>
      <w:r w:rsidRPr="00D34230">
        <w:lastRenderedPageBreak/>
        <w:t>46</w:t>
      </w:r>
      <w:r>
        <w:t>,5</w:t>
      </w:r>
      <w:r w:rsidRPr="00D34230">
        <w:t>% по теме «Химическое загрязнение окружающей среды и его последствия. Человек в мире веществ, материалов и химических реакций»,</w:t>
      </w:r>
      <w:r w:rsidR="00D11AA8">
        <w:t xml:space="preserve"> опять же низкий процент </w:t>
      </w:r>
      <w:r w:rsidR="00D11AA8">
        <w:rPr>
          <w:iCs/>
        </w:rPr>
        <w:t>в</w:t>
      </w:r>
      <w:r w:rsidR="00D11AA8" w:rsidRPr="009C1275">
        <w:rPr>
          <w:iCs/>
        </w:rPr>
        <w:t xml:space="preserve"> группе лиц, получивших по экзамену оценку «</w:t>
      </w:r>
      <w:r w:rsidR="00D11AA8">
        <w:rPr>
          <w:iCs/>
        </w:rPr>
        <w:t>3</w:t>
      </w:r>
      <w:r w:rsidR="00D11AA8" w:rsidRPr="009C1275">
        <w:rPr>
          <w:iCs/>
        </w:rPr>
        <w:t>»</w:t>
      </w:r>
      <w:r w:rsidR="00D11AA8">
        <w:rPr>
          <w:iCs/>
        </w:rPr>
        <w:t xml:space="preserve"> и «4».</w:t>
      </w:r>
      <w:r w:rsidRPr="00D34230">
        <w:t xml:space="preserve"> </w:t>
      </w:r>
      <w:r w:rsidR="00D11AA8">
        <w:t>З</w:t>
      </w:r>
      <w:r w:rsidRPr="00D34230">
        <w:t>адание №8 по теме «Химические свойства простых веществ. Химические свойства оксидов: основных, амфотерных, кислотных» – 4</w:t>
      </w:r>
      <w:r>
        <w:t>7,8</w:t>
      </w:r>
      <w:r w:rsidR="00D11AA8">
        <w:t>%,</w:t>
      </w:r>
      <w:r w:rsidR="00D11AA8" w:rsidRPr="00D11AA8">
        <w:t xml:space="preserve"> </w:t>
      </w:r>
      <w:r w:rsidR="00D11AA8">
        <w:t xml:space="preserve">низкий процент </w:t>
      </w:r>
      <w:r w:rsidR="00D11AA8" w:rsidRPr="009C1275">
        <w:rPr>
          <w:iCs/>
        </w:rPr>
        <w:t xml:space="preserve"> группе лиц, получивших по экзамену оценку «</w:t>
      </w:r>
      <w:r w:rsidR="00D11AA8">
        <w:rPr>
          <w:iCs/>
        </w:rPr>
        <w:t>3</w:t>
      </w:r>
      <w:r w:rsidR="00D11AA8" w:rsidRPr="009C1275">
        <w:rPr>
          <w:iCs/>
        </w:rPr>
        <w:t>»</w:t>
      </w:r>
      <w:r w:rsidR="00D11AA8">
        <w:rPr>
          <w:iCs/>
        </w:rPr>
        <w:t xml:space="preserve"> и «4» (19,4% и 36,8%).</w:t>
      </w:r>
      <w:r w:rsidR="00D43B18">
        <w:rPr>
          <w:iCs/>
        </w:rPr>
        <w:t xml:space="preserve"> </w:t>
      </w:r>
      <w:r>
        <w:t>Справилось менее 50 % учащихся</w:t>
      </w:r>
      <w:r w:rsidR="00B951AB">
        <w:t xml:space="preserve"> с базовым заданием № 1 – 49,7%,</w:t>
      </w:r>
      <w:r w:rsidR="00B951AB" w:rsidRPr="00D11AA8">
        <w:t xml:space="preserve"> </w:t>
      </w:r>
      <w:r w:rsidR="00B951AB">
        <w:t xml:space="preserve">низкий процент </w:t>
      </w:r>
      <w:r w:rsidR="00B951AB" w:rsidRPr="009C1275">
        <w:rPr>
          <w:iCs/>
        </w:rPr>
        <w:t xml:space="preserve"> группе лиц, получивших по экзамену оценку «</w:t>
      </w:r>
      <w:r w:rsidR="00B951AB">
        <w:rPr>
          <w:iCs/>
        </w:rPr>
        <w:t>3</w:t>
      </w:r>
      <w:r w:rsidR="00B951AB" w:rsidRPr="009C1275">
        <w:rPr>
          <w:iCs/>
        </w:rPr>
        <w:t>»</w:t>
      </w:r>
      <w:r w:rsidR="00B951AB">
        <w:rPr>
          <w:iCs/>
        </w:rPr>
        <w:t xml:space="preserve"> и «4» (29% и 42,6%).</w:t>
      </w:r>
      <w:r>
        <w:t xml:space="preserve"> </w:t>
      </w:r>
      <w:r w:rsidRPr="00D34230">
        <w:t>Процент выполнения остальных заданий 50% и более.</w:t>
      </w:r>
      <w:r>
        <w:t xml:space="preserve"> </w:t>
      </w:r>
      <w:r w:rsidRPr="00D34230">
        <w:t>Самый высокий процент выполнения заданий базового уровня у 5 задания (8</w:t>
      </w:r>
      <w:r>
        <w:t>8,7</w:t>
      </w:r>
      <w:r w:rsidRPr="00D34230">
        <w:t xml:space="preserve">%) и 11 </w:t>
      </w:r>
      <w:r>
        <w:t>(</w:t>
      </w:r>
      <w:r w:rsidRPr="00D34230">
        <w:t>9</w:t>
      </w:r>
      <w:r>
        <w:t>3,7)</w:t>
      </w:r>
      <w:r w:rsidRPr="00D34230">
        <w:t>%.</w:t>
      </w:r>
    </w:p>
    <w:p w:rsidR="00D43B18" w:rsidRPr="00D43B18" w:rsidRDefault="00D43B18" w:rsidP="00D43B18">
      <w:pPr>
        <w:spacing w:line="360" w:lineRule="auto"/>
        <w:ind w:firstLine="709"/>
        <w:jc w:val="both"/>
      </w:pPr>
      <w:r w:rsidRPr="00D43B18">
        <w:t xml:space="preserve">Самый высокий процент выполнения заданий базового уровня: № 24 «Правила безопасной работы в школьной лаборатории. Лабораторная посуда и оборудование. Разделение смесей и очистка веществ. </w:t>
      </w:r>
      <w:proofErr w:type="gramStart"/>
      <w:r w:rsidRPr="00D43B18">
        <w:t>Приготовление растворов» (9</w:t>
      </w:r>
      <w:r>
        <w:t>8,7</w:t>
      </w:r>
      <w:r w:rsidRPr="00D43B18">
        <w:t>%)</w:t>
      </w:r>
      <w:r w:rsidRPr="00D34230">
        <w:t xml:space="preserve">, </w:t>
      </w:r>
      <w:r w:rsidRPr="009C1275">
        <w:rPr>
          <w:iCs/>
        </w:rPr>
        <w:t xml:space="preserve"> </w:t>
      </w:r>
      <w:r>
        <w:rPr>
          <w:iCs/>
        </w:rPr>
        <w:t xml:space="preserve">во всех </w:t>
      </w:r>
      <w:r w:rsidRPr="009C1275">
        <w:rPr>
          <w:iCs/>
        </w:rPr>
        <w:t>групп</w:t>
      </w:r>
      <w:r>
        <w:rPr>
          <w:iCs/>
        </w:rPr>
        <w:t>ах</w:t>
      </w:r>
      <w:r w:rsidRPr="009C1275">
        <w:rPr>
          <w:iCs/>
        </w:rPr>
        <w:t xml:space="preserve"> лиц, получивших по экзамену оценк</w:t>
      </w:r>
      <w:r>
        <w:rPr>
          <w:iCs/>
        </w:rPr>
        <w:t>и</w:t>
      </w:r>
      <w:r w:rsidRPr="009C1275">
        <w:rPr>
          <w:iCs/>
        </w:rPr>
        <w:t xml:space="preserve"> «</w:t>
      </w:r>
      <w:r>
        <w:rPr>
          <w:iCs/>
        </w:rPr>
        <w:t>3</w:t>
      </w:r>
      <w:r w:rsidRPr="009C1275">
        <w:rPr>
          <w:iCs/>
        </w:rPr>
        <w:t>»</w:t>
      </w:r>
      <w:r>
        <w:rPr>
          <w:iCs/>
        </w:rPr>
        <w:t>, «4» и «5» (96,8%,99,35% и 99,2% соответственно).</w:t>
      </w:r>
      <w:r w:rsidRPr="00D43B18">
        <w:t xml:space="preserve"> № 11 «Классификация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 (</w:t>
      </w:r>
      <w:r>
        <w:t>93,7</w:t>
      </w:r>
      <w:r w:rsidRPr="00D43B18">
        <w:t>%)</w:t>
      </w:r>
      <w:r w:rsidRPr="00D34230">
        <w:t xml:space="preserve">, </w:t>
      </w:r>
      <w:r w:rsidRPr="009C1275">
        <w:rPr>
          <w:iCs/>
        </w:rPr>
        <w:t xml:space="preserve"> </w:t>
      </w:r>
      <w:r>
        <w:rPr>
          <w:iCs/>
        </w:rPr>
        <w:t xml:space="preserve">в </w:t>
      </w:r>
      <w:r w:rsidRPr="009C1275">
        <w:rPr>
          <w:iCs/>
        </w:rPr>
        <w:t>групп</w:t>
      </w:r>
      <w:r>
        <w:rPr>
          <w:iCs/>
        </w:rPr>
        <w:t>е</w:t>
      </w:r>
      <w:r w:rsidRPr="009C1275">
        <w:rPr>
          <w:iCs/>
        </w:rPr>
        <w:t xml:space="preserve"> лиц, получивших по экзамену оценк</w:t>
      </w:r>
      <w:r>
        <w:rPr>
          <w:iCs/>
        </w:rPr>
        <w:t>у</w:t>
      </w:r>
      <w:r w:rsidRPr="009C1275">
        <w:rPr>
          <w:iCs/>
        </w:rPr>
        <w:t xml:space="preserve"> </w:t>
      </w:r>
      <w:r>
        <w:rPr>
          <w:iCs/>
        </w:rPr>
        <w:t xml:space="preserve">«5» - 100% выполнения. </w:t>
      </w:r>
      <w:r w:rsidRPr="00D43B18">
        <w:t xml:space="preserve"> № 5 «Строение вещества.</w:t>
      </w:r>
      <w:proofErr w:type="gramEnd"/>
      <w:r w:rsidRPr="00D43B18">
        <w:t xml:space="preserve"> Химическая связь: ковалентная» (8</w:t>
      </w:r>
      <w:r>
        <w:t>8,7</w:t>
      </w:r>
      <w:r w:rsidRPr="00D43B18">
        <w:t>%); № 15 «Окислительно-восстановительные реакции. Окислитель и восстановитель» (8</w:t>
      </w:r>
      <w:r>
        <w:t>5,5</w:t>
      </w:r>
      <w:r w:rsidRPr="00D43B18">
        <w:t>%); № 6 «Строение атома. Строение электронных оболочек атомов первых 20 химических элементов Периодической системы Д.И. Менделеева. Закономерности изменения» (82</w:t>
      </w:r>
      <w:r>
        <w:t>,4</w:t>
      </w:r>
      <w:r w:rsidRPr="00D43B18">
        <w:t>%).</w:t>
      </w:r>
    </w:p>
    <w:p w:rsidR="00D43B18" w:rsidRPr="00D43B18" w:rsidRDefault="00D43B18" w:rsidP="00D43B18">
      <w:pPr>
        <w:spacing w:line="360" w:lineRule="auto"/>
        <w:ind w:firstLine="709"/>
        <w:jc w:val="both"/>
      </w:pPr>
      <w:r w:rsidRPr="00D43B18">
        <w:t>С заданиями повышенного и высокого уровня справились более 48% всех обучающихся.</w:t>
      </w:r>
    </w:p>
    <w:p w:rsidR="00D43B18" w:rsidRPr="00D43B18" w:rsidRDefault="00D43B18" w:rsidP="00D43B18">
      <w:pPr>
        <w:spacing w:line="360" w:lineRule="auto"/>
        <w:ind w:firstLine="709"/>
        <w:jc w:val="both"/>
      </w:pPr>
      <w:r w:rsidRPr="00D43B18">
        <w:t>Наиболее успешно выполнили следующие задания повышенного уровня: № 4 «Валентность. Степень окисления химических элементов» (87</w:t>
      </w:r>
      <w:r>
        <w:t>,4</w:t>
      </w:r>
      <w:r w:rsidRPr="00D43B18">
        <w:t>%); № 12 «Химическая реакция. Условия и признаки протекания химических реакций. Химические уравнения. Сохранение массы веще</w:t>
      </w:r>
      <w:proofErr w:type="gramStart"/>
      <w:r w:rsidRPr="00D43B18">
        <w:t>ств пр</w:t>
      </w:r>
      <w:proofErr w:type="gramEnd"/>
      <w:r w:rsidRPr="00D43B18">
        <w:t>и химических реакциях» (62</w:t>
      </w:r>
      <w:r>
        <w:t>,3</w:t>
      </w:r>
      <w:r w:rsidRPr="00D43B18">
        <w:t>%).</w:t>
      </w:r>
    </w:p>
    <w:p w:rsidR="00D43B18" w:rsidRPr="00D43B18" w:rsidRDefault="00D43B18" w:rsidP="00D43B18">
      <w:pPr>
        <w:spacing w:line="360" w:lineRule="auto"/>
        <w:ind w:firstLine="709"/>
        <w:jc w:val="both"/>
      </w:pPr>
      <w:r w:rsidRPr="00D43B18">
        <w:t>Задания высокого уровня: № 20 «Окислительно-восстановительные реакции. Окислитель и восстановитель» (79</w:t>
      </w:r>
      <w:r>
        <w:t>,7</w:t>
      </w:r>
      <w:r w:rsidRPr="00D43B18">
        <w:t>%), № 23 «Решение экспериментальных задач по теме «Неметаллы IV–VII групп и их соединений»; «Металлы и их соединения». Качественные реакции на ионы в растворе (хлорид-, иодид-, сульфат-, карбонат-,</w:t>
      </w:r>
      <w:r w:rsidRPr="00D43B18">
        <w:br/>
        <w:t xml:space="preserve"> силикат-, фосфа</w:t>
      </w:r>
      <w:proofErr w:type="gramStart"/>
      <w:r w:rsidRPr="00D43B18">
        <w:t>т-</w:t>
      </w:r>
      <w:proofErr w:type="gramEnd"/>
      <w:r w:rsidRPr="00D43B18">
        <w:t>, гидроксид-ионы; ион аммония; катионы изученных металлов, а также бария, серебра, кальция, меди и железа)» (</w:t>
      </w:r>
      <w:r>
        <w:t>91,4</w:t>
      </w:r>
      <w:r w:rsidRPr="00D43B18">
        <w:t>%), № 24 «Правила безопасной работы в школьной лаборатории. Лабораторная посуда и оборудование. Разделение смесей и очистка веществ. Приготовление растворов» (9</w:t>
      </w:r>
      <w:r>
        <w:t>8,7</w:t>
      </w:r>
      <w:r w:rsidRPr="00D43B18">
        <w:t>%).</w:t>
      </w:r>
    </w:p>
    <w:p w:rsidR="00B155D3" w:rsidRPr="00146CF9" w:rsidRDefault="00B155D3" w:rsidP="00146CF9">
      <w:pPr>
        <w:pStyle w:val="a3"/>
        <w:spacing w:after="0" w:line="240" w:lineRule="auto"/>
        <w:ind w:left="0"/>
        <w:jc w:val="both"/>
        <w:rPr>
          <w:rFonts w:ascii="Times New Roman" w:eastAsia="Times New Roman" w:hAnsi="Times New Roman"/>
          <w:b/>
          <w:sz w:val="24"/>
          <w:szCs w:val="24"/>
          <w:lang w:eastAsia="ru-RU"/>
        </w:rPr>
      </w:pPr>
      <w:r w:rsidRPr="00E757B8">
        <w:rPr>
          <w:rFonts w:ascii="Times New Roman" w:eastAsia="Times New Roman" w:hAnsi="Times New Roman"/>
          <w:b/>
          <w:sz w:val="24"/>
          <w:szCs w:val="24"/>
          <w:lang w:eastAsia="ru-RU"/>
        </w:rPr>
        <w:lastRenderedPageBreak/>
        <w:t>2.</w:t>
      </w:r>
      <w:r w:rsidR="005F2021" w:rsidRPr="00E757B8">
        <w:rPr>
          <w:rFonts w:ascii="Times New Roman" w:eastAsia="Times New Roman" w:hAnsi="Times New Roman"/>
          <w:b/>
          <w:sz w:val="24"/>
          <w:szCs w:val="24"/>
          <w:lang w:eastAsia="ru-RU"/>
        </w:rPr>
        <w:t>3</w:t>
      </w:r>
      <w:r w:rsidRPr="00E757B8">
        <w:rPr>
          <w:rFonts w:ascii="Times New Roman" w:eastAsia="Times New Roman" w:hAnsi="Times New Roman"/>
          <w:b/>
          <w:sz w:val="24"/>
          <w:szCs w:val="24"/>
          <w:lang w:eastAsia="ru-RU"/>
        </w:rPr>
        <w:t>.</w:t>
      </w:r>
      <w:r w:rsidR="00903AC5" w:rsidRPr="00E757B8">
        <w:rPr>
          <w:rFonts w:ascii="Times New Roman" w:eastAsia="Times New Roman" w:hAnsi="Times New Roman"/>
          <w:b/>
          <w:sz w:val="24"/>
          <w:szCs w:val="24"/>
          <w:lang w:eastAsia="ru-RU"/>
        </w:rPr>
        <w:t>3</w:t>
      </w:r>
      <w:r w:rsidRPr="00E757B8">
        <w:rPr>
          <w:rFonts w:ascii="Times New Roman" w:eastAsia="Times New Roman" w:hAnsi="Times New Roman"/>
          <w:b/>
          <w:sz w:val="24"/>
          <w:szCs w:val="24"/>
          <w:lang w:eastAsia="ru-RU"/>
        </w:rPr>
        <w:t xml:space="preserve">. Содержательный анализ выполнения заданий </w:t>
      </w:r>
      <w:r w:rsidR="00EB7C8C" w:rsidRPr="00E757B8">
        <w:rPr>
          <w:rFonts w:ascii="Times New Roman" w:eastAsia="Times New Roman" w:hAnsi="Times New Roman"/>
          <w:b/>
          <w:sz w:val="24"/>
          <w:szCs w:val="24"/>
          <w:lang w:eastAsia="ru-RU"/>
        </w:rPr>
        <w:t>КИМ ОГЭ</w:t>
      </w:r>
    </w:p>
    <w:p w:rsidR="00D54EE2" w:rsidRPr="00D54EE2" w:rsidRDefault="00D54EE2" w:rsidP="006805C0">
      <w:pPr>
        <w:ind w:firstLine="852"/>
        <w:contextualSpacing/>
        <w:jc w:val="both"/>
        <w:rPr>
          <w:b/>
          <w:iCs/>
        </w:rPr>
      </w:pPr>
    </w:p>
    <w:p w:rsidR="00B951AB" w:rsidRDefault="00B951AB" w:rsidP="00440B27">
      <w:pPr>
        <w:spacing w:line="360" w:lineRule="auto"/>
        <w:ind w:firstLine="709"/>
        <w:jc w:val="both"/>
      </w:pPr>
      <w:r>
        <w:t>Задания базового уровня, выполненные менее 50%, это задания №1,8,16 и 19.</w:t>
      </w:r>
    </w:p>
    <w:p w:rsidR="00B951AB" w:rsidRDefault="00B951AB" w:rsidP="00440B27">
      <w:pPr>
        <w:spacing w:line="360" w:lineRule="auto"/>
        <w:ind w:firstLine="709"/>
        <w:jc w:val="both"/>
      </w:pPr>
      <w:r>
        <w:t>Задание № 1 выполняется чаще всего слабо учащимися, потому что его выполнение требует от учащихся обладание высоким потенциалом читательской грамотности, а также знания о свойстве элемента и вещества. Выпускники читают НЕ внимательно.</w:t>
      </w:r>
    </w:p>
    <w:p w:rsidR="00B951AB" w:rsidRDefault="00B951AB" w:rsidP="00440B27">
      <w:pPr>
        <w:spacing w:line="360" w:lineRule="auto"/>
        <w:ind w:firstLine="709"/>
        <w:jc w:val="both"/>
      </w:pPr>
      <w:r>
        <w:t>Задание № 8. Ученик должен знать х</w:t>
      </w:r>
      <w:r w:rsidRPr="00B951AB">
        <w:t>имические свойства простых веществ</w:t>
      </w:r>
      <w:r>
        <w:t>, х</w:t>
      </w:r>
      <w:r w:rsidRPr="00B951AB">
        <w:t xml:space="preserve">имические свойства оксидов: оснόвных, </w:t>
      </w:r>
      <w:proofErr w:type="spellStart"/>
      <w:r w:rsidRPr="00B951AB">
        <w:t>амфотерных</w:t>
      </w:r>
      <w:proofErr w:type="spellEnd"/>
      <w:r w:rsidRPr="00B951AB">
        <w:t>, кислотных</w:t>
      </w:r>
      <w:r>
        <w:t>.</w:t>
      </w:r>
    </w:p>
    <w:p w:rsidR="00B951AB" w:rsidRDefault="00B951AB" w:rsidP="00440B27">
      <w:pPr>
        <w:spacing w:line="360" w:lineRule="auto"/>
        <w:ind w:firstLine="709"/>
        <w:jc w:val="both"/>
      </w:pPr>
      <w:r>
        <w:t>В з</w:t>
      </w:r>
      <w:r w:rsidRPr="00B951AB">
        <w:t>адани</w:t>
      </w:r>
      <w:r>
        <w:t>и</w:t>
      </w:r>
      <w:r w:rsidRPr="00B951AB">
        <w:t xml:space="preserve"> № 16</w:t>
      </w:r>
      <w:r>
        <w:t xml:space="preserve"> недостаточно знать только химические свойства и технику безопасности выполнения эксперимента, но и уметь видеть неверный ответ. </w:t>
      </w:r>
    </w:p>
    <w:p w:rsidR="00B951AB" w:rsidRDefault="00B951AB" w:rsidP="00440B27">
      <w:pPr>
        <w:spacing w:line="360" w:lineRule="auto"/>
        <w:ind w:firstLine="709"/>
        <w:jc w:val="both"/>
      </w:pPr>
      <w:r>
        <w:t xml:space="preserve">Задание № 19. </w:t>
      </w:r>
      <w:r w:rsidRPr="00B951AB">
        <w:t>Химическое загрязнение окружающей   среды и его последствия. Человек в мире веществ, материалов и химических реакций</w:t>
      </w:r>
      <w:r>
        <w:t>. При решении данной задачи выпускник должен ещё уметь составлять математическую пропорцию и уравнение с одним неизвестным.</w:t>
      </w:r>
    </w:p>
    <w:p w:rsidR="00B951AB" w:rsidRDefault="00B951AB" w:rsidP="00440B27">
      <w:pPr>
        <w:spacing w:line="360" w:lineRule="auto"/>
        <w:ind w:firstLine="709"/>
        <w:jc w:val="both"/>
      </w:pPr>
      <w:r>
        <w:t>Успешно справляются выпускники с заданиями повышенного и высокого уровней.</w:t>
      </w:r>
    </w:p>
    <w:p w:rsidR="00D43B18" w:rsidRPr="00D43B18" w:rsidRDefault="00440B27" w:rsidP="00D43B18">
      <w:pPr>
        <w:pBdr>
          <w:top w:val="nil"/>
          <w:left w:val="nil"/>
          <w:bottom w:val="nil"/>
          <w:right w:val="nil"/>
          <w:between w:val="nil"/>
        </w:pBdr>
        <w:tabs>
          <w:tab w:val="left" w:pos="142"/>
        </w:tabs>
        <w:spacing w:line="360" w:lineRule="auto"/>
        <w:ind w:firstLine="709"/>
        <w:jc w:val="both"/>
      </w:pPr>
      <w:r w:rsidRPr="00440B27">
        <w:t>Содержание задания № 20 на протяжении многих лет не меняется. Это окислительно-восстановительная реакция, в которой необходимо расставить коэффициенты методом электронного баланса и указать окислитель и восстановитель. Процент выполнения данного задания достаточно высокий</w:t>
      </w:r>
      <w:r w:rsidR="00F11973">
        <w:t xml:space="preserve"> 79,7%</w:t>
      </w:r>
      <w:r w:rsidRPr="00440B27">
        <w:t xml:space="preserve">. Хотелось остановиться на распространенных ошибках, за которые обучающиеся могут терять баллы, на примере </w:t>
      </w:r>
      <w:r w:rsidRPr="00D43B18">
        <w:t xml:space="preserve">уравнений реакций. </w:t>
      </w:r>
      <w:r w:rsidR="00D43B18" w:rsidRPr="00D43B18">
        <w:t>Рассмотрим некоторые задания.</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Дано уравнение; HBr+HNO</w:t>
      </w:r>
      <w:r w:rsidRPr="00D43B18">
        <w:rPr>
          <w:vertAlign w:val="subscript"/>
        </w:rPr>
        <w:t>3</w:t>
      </w:r>
      <w:r w:rsidRPr="00D43B18">
        <w:t>→NO</w:t>
      </w:r>
      <w:r w:rsidRPr="00D43B18">
        <w:rPr>
          <w:vertAlign w:val="subscript"/>
        </w:rPr>
        <w:t>2</w:t>
      </w:r>
      <w:r w:rsidRPr="00D43B18">
        <w:t>+HBrO</w:t>
      </w:r>
      <w:r w:rsidRPr="00D43B18">
        <w:rPr>
          <w:vertAlign w:val="subscript"/>
        </w:rPr>
        <w:t>3</w:t>
      </w:r>
      <w:r w:rsidRPr="00D43B18">
        <w:t>+H</w:t>
      </w:r>
      <w:r w:rsidRPr="00D43B18">
        <w:rPr>
          <w:vertAlign w:val="subscript"/>
        </w:rPr>
        <w:t>2</w:t>
      </w:r>
      <w:r w:rsidRPr="00D43B18">
        <w:t>O</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 xml:space="preserve">Баланс написан следующим образом: </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N+5-1</w:t>
      </w:r>
      <w:r w:rsidRPr="00D43B18">
        <w:rPr>
          <w:vertAlign w:val="subscript"/>
        </w:rPr>
        <w:t>e</w:t>
      </w:r>
      <w:r w:rsidRPr="00D43B18">
        <w:t>→N+4</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Br-1+6</w:t>
      </w:r>
      <w:r w:rsidRPr="00D43B18">
        <w:rPr>
          <w:vertAlign w:val="subscript"/>
        </w:rPr>
        <w:t>e</w:t>
      </w:r>
      <w:r w:rsidRPr="00D43B18">
        <w:t>→Br+5 (все записи с ошибками взяты из работ учащихся).</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Ввиду неверной записи баланса выпускник неправильно указал окислитель и восстановитель, в результате чего он потерял два балла. Таким образом, в этом задании обучающийся получил один балл только за правильное написание молекулярного уравнения с коэффициентами.</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Другой вариант ошибок при составлении электронного баланса:</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Дано уравнение реакции:</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Br</w:t>
      </w:r>
      <w:r w:rsidRPr="00D43B18">
        <w:rPr>
          <w:vertAlign w:val="subscript"/>
        </w:rPr>
        <w:t>2</w:t>
      </w:r>
      <w:r w:rsidRPr="00D43B18">
        <w:t>+KI+H</w:t>
      </w:r>
      <w:r w:rsidRPr="00D43B18">
        <w:rPr>
          <w:vertAlign w:val="subscript"/>
        </w:rPr>
        <w:t>2</w:t>
      </w:r>
      <w:r w:rsidRPr="00D43B18">
        <w:t>O→KIO</w:t>
      </w:r>
      <w:r w:rsidRPr="00D43B18">
        <w:rPr>
          <w:vertAlign w:val="subscript"/>
        </w:rPr>
        <w:t>3</w:t>
      </w:r>
      <w:r w:rsidRPr="00D43B18">
        <w:t>+HBr</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Варианты ответов учащихся:</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2Br</w:t>
      </w:r>
      <w:r w:rsidRPr="00D43B18">
        <w:rPr>
          <w:vertAlign w:val="subscript"/>
        </w:rPr>
        <w:t>o</w:t>
      </w:r>
      <w:r w:rsidRPr="00D43B18">
        <w:t xml:space="preserve"> +2</w:t>
      </w:r>
      <w:r w:rsidRPr="00D43B18">
        <w:rPr>
          <w:vertAlign w:val="subscript"/>
        </w:rPr>
        <w:t>e</w:t>
      </w:r>
      <w:r w:rsidRPr="00D43B18">
        <w:t>→Br-1 или 2Br</w:t>
      </w:r>
      <w:r w:rsidRPr="00D43B18">
        <w:rPr>
          <w:vertAlign w:val="subscript"/>
        </w:rPr>
        <w:t>o</w:t>
      </w:r>
      <w:r w:rsidRPr="00D43B18">
        <w:t>+1</w:t>
      </w:r>
      <w:r w:rsidRPr="00D43B18">
        <w:rPr>
          <w:vertAlign w:val="subscript"/>
        </w:rPr>
        <w:t>e</w:t>
      </w:r>
      <w:r w:rsidRPr="00D43B18">
        <w:t>→2Br-1</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lastRenderedPageBreak/>
        <w:t>I-1-6e→I+5 I-1-4e→I+5</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При написании окислителя и восстановителя необходимо указывать само вещество или элемент со степенью окисления. Встречаются следующие записи: Br</w:t>
      </w:r>
      <w:r w:rsidRPr="00D43B18">
        <w:rPr>
          <w:vertAlign w:val="subscript"/>
        </w:rPr>
        <w:t xml:space="preserve">2 </w:t>
      </w:r>
      <w:r w:rsidRPr="00D43B18">
        <w:t>– окислитель, I – восстановитель. В данном случае восстановителем является KI или I-1.</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 xml:space="preserve">Итог: при написании баланса необходимо учитывать индексы у простых </w:t>
      </w:r>
      <w:proofErr w:type="gramStart"/>
      <w:r w:rsidRPr="00D43B18">
        <w:t>веществ</w:t>
      </w:r>
      <w:proofErr w:type="gramEnd"/>
      <w:r w:rsidRPr="00D43B18">
        <w:t xml:space="preserve"> как в левой, так и в правой части; правильно записывать окислитель и восстановитель; при расстановке коэффициентов проверять число атомов в левой и правой части уравнения.</w:t>
      </w:r>
    </w:p>
    <w:p w:rsidR="00440B27" w:rsidRPr="00440B27" w:rsidRDefault="00440B27" w:rsidP="00D43B18">
      <w:pPr>
        <w:spacing w:line="360" w:lineRule="auto"/>
        <w:ind w:firstLine="709"/>
        <w:jc w:val="both"/>
        <w:rPr>
          <w:rFonts w:eastAsia="Times New Roman"/>
        </w:rPr>
      </w:pPr>
      <w:r w:rsidRPr="00440B27">
        <w:rPr>
          <w:rFonts w:eastAsia="Times New Roman"/>
        </w:rPr>
        <w:t>Задание № 21. Задание на генетическую связь неорганических соединений. В нем необходимо не только уметь писать уравнения реакции, расставлять коэффициенты, но и знать свойства неорганических веществ. В этом задании было допущено больше всего ошибок.</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Рассмотрим следующую схему превращений: S→X→Na</w:t>
      </w:r>
      <w:r w:rsidRPr="00D43B18">
        <w:rPr>
          <w:vertAlign w:val="subscript"/>
        </w:rPr>
        <w:t>2</w:t>
      </w:r>
      <w:r w:rsidRPr="00D43B18">
        <w:t>SO</w:t>
      </w:r>
      <w:r w:rsidRPr="00D43B18">
        <w:rPr>
          <w:vertAlign w:val="subscript"/>
        </w:rPr>
        <w:t>3</w:t>
      </w:r>
      <w:r w:rsidRPr="00D43B18">
        <w:t>→CaSO</w:t>
      </w:r>
      <w:r w:rsidRPr="00D43B18">
        <w:rPr>
          <w:vertAlign w:val="subscript"/>
        </w:rPr>
        <w:t>3</w:t>
      </w:r>
      <w:r w:rsidRPr="00D43B18">
        <w:t>.</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Для второго уравнения необходимо написать сокращенное ионное уравнение.</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Первое уравнение реакции однозначно. Это взаимодействие серы с кислородом. Сульфит натрия можно получить двумя способами. Это взаимодействие оксида серы со щелочью, но многие шли по пути реакции соединения: Na</w:t>
      </w:r>
      <w:r w:rsidRPr="00D43B18">
        <w:rPr>
          <w:vertAlign w:val="subscript"/>
        </w:rPr>
        <w:t>2</w:t>
      </w:r>
      <w:r w:rsidRPr="00D43B18">
        <w:t>O+SO</w:t>
      </w:r>
      <w:r w:rsidRPr="00D43B18">
        <w:rPr>
          <w:vertAlign w:val="subscript"/>
        </w:rPr>
        <w:t>2</w:t>
      </w:r>
      <w:r w:rsidRPr="00D43B18">
        <w:t>→Na</w:t>
      </w:r>
      <w:r w:rsidRPr="00D43B18">
        <w:rPr>
          <w:vertAlign w:val="subscript"/>
        </w:rPr>
        <w:t>2</w:t>
      </w:r>
      <w:r w:rsidRPr="00D43B18">
        <w:t>SO</w:t>
      </w:r>
      <w:r w:rsidRPr="00D43B18">
        <w:rPr>
          <w:vertAlign w:val="subscript"/>
        </w:rPr>
        <w:t>3</w:t>
      </w:r>
      <w:r w:rsidRPr="00D43B18">
        <w:t>. Данное уравнение верно, за него ученик получал балл, но данная реакция не относится к реакциям ионного обмена, поэтому не имеет ионного уравнения. Но ионные уравнения писали в следующем виде: Na</w:t>
      </w:r>
      <w:r w:rsidRPr="00D43B18">
        <w:rPr>
          <w:vertAlign w:val="subscript"/>
        </w:rPr>
        <w:t>2</w:t>
      </w:r>
      <w:r w:rsidRPr="00D43B18">
        <w:t>O + SO</w:t>
      </w:r>
      <w:r w:rsidRPr="00D43B18">
        <w:rPr>
          <w:vertAlign w:val="subscript"/>
        </w:rPr>
        <w:t>2</w:t>
      </w:r>
      <w:r w:rsidRPr="00D43B18">
        <w:t xml:space="preserve"> → 2Na+ +SO</w:t>
      </w:r>
      <w:r w:rsidRPr="00D43B18">
        <w:rPr>
          <w:vertAlign w:val="subscript"/>
        </w:rPr>
        <w:t xml:space="preserve">3 </w:t>
      </w:r>
      <w:r w:rsidRPr="00D43B18">
        <w:t>2- или 2Na+ +2O</w:t>
      </w:r>
      <w:r w:rsidRPr="00D43B18">
        <w:rPr>
          <w:vertAlign w:val="subscript"/>
        </w:rPr>
        <w:t>2</w:t>
      </w:r>
      <w:r w:rsidRPr="00D43B18">
        <w:t>- + SO</w:t>
      </w:r>
      <w:r w:rsidRPr="00D43B18">
        <w:rPr>
          <w:vertAlign w:val="subscript"/>
        </w:rPr>
        <w:t>2</w:t>
      </w:r>
      <w:r w:rsidRPr="00D43B18">
        <w:t>-→2Na+ +SO</w:t>
      </w:r>
      <w:r w:rsidRPr="00D43B18">
        <w:rPr>
          <w:vertAlign w:val="subscript"/>
        </w:rPr>
        <w:t>3</w:t>
      </w:r>
      <w:r w:rsidRPr="00D43B18">
        <w:t>2-</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Последнее уравнение в данной схеме встречается в следующем виде:</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Na</w:t>
      </w:r>
      <w:r w:rsidRPr="00D43B18">
        <w:rPr>
          <w:vertAlign w:val="subscript"/>
        </w:rPr>
        <w:t>2</w:t>
      </w:r>
      <w:r w:rsidRPr="00D43B18">
        <w:t>SO</w:t>
      </w:r>
      <w:r w:rsidRPr="00D43B18">
        <w:rPr>
          <w:vertAlign w:val="subscript"/>
        </w:rPr>
        <w:t>3</w:t>
      </w:r>
      <w:r w:rsidRPr="00D43B18">
        <w:t>+С</w:t>
      </w:r>
      <w:proofErr w:type="gramStart"/>
      <w:r w:rsidRPr="00D43B18">
        <w:t>a</w:t>
      </w:r>
      <w:proofErr w:type="gramEnd"/>
      <w:r w:rsidRPr="00D43B18">
        <w:t>→CaSO</w:t>
      </w:r>
      <w:r w:rsidRPr="00D43B18">
        <w:rPr>
          <w:vertAlign w:val="subscript"/>
        </w:rPr>
        <w:t>3</w:t>
      </w:r>
      <w:r w:rsidRPr="00D43B18">
        <w:t>. +2Na, что также недопустимо.</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Больше всего ошибок было допущено в следующей схеме превращений:</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MgCO</w:t>
      </w:r>
      <w:r w:rsidRPr="00D43B18">
        <w:rPr>
          <w:vertAlign w:val="subscript"/>
        </w:rPr>
        <w:t>3</w:t>
      </w:r>
      <w:r w:rsidRPr="00D43B18">
        <w:t>→X→CaCO</w:t>
      </w:r>
      <w:r w:rsidRPr="00D43B18">
        <w:rPr>
          <w:vertAlign w:val="subscript"/>
        </w:rPr>
        <w:t>3</w:t>
      </w:r>
      <w:r w:rsidRPr="00D43B18">
        <w:t>→CaSiO</w:t>
      </w:r>
      <w:r w:rsidRPr="00D43B18">
        <w:rPr>
          <w:vertAlign w:val="subscript"/>
        </w:rPr>
        <w:t>3</w:t>
      </w:r>
      <w:r w:rsidRPr="00D43B18">
        <w:t>.</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В первом уравнении реакции веществом Х может быть только растворимая соль сильной кислоты, поэтому будет протекать взаимодействие карбоната магния с сильной кислотой. Варианты ответов учащихся:</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MgCO</w:t>
      </w:r>
      <w:r w:rsidRPr="00D43B18">
        <w:rPr>
          <w:vertAlign w:val="subscript"/>
        </w:rPr>
        <w:t>3</w:t>
      </w:r>
      <w:r w:rsidRPr="00D43B18">
        <w:t>+K</w:t>
      </w:r>
      <w:r w:rsidRPr="00D43B18">
        <w:rPr>
          <w:vertAlign w:val="subscript"/>
        </w:rPr>
        <w:t>2</w:t>
      </w:r>
      <w:r w:rsidRPr="00D43B18">
        <w:t>SiO</w:t>
      </w:r>
      <w:r w:rsidRPr="00D43B18">
        <w:rPr>
          <w:vertAlign w:val="subscript"/>
        </w:rPr>
        <w:t>3</w:t>
      </w:r>
      <w:r w:rsidRPr="00D43B18">
        <w:t>→CaSiO</w:t>
      </w:r>
      <w:r w:rsidRPr="00D43B18">
        <w:rPr>
          <w:vertAlign w:val="subscript"/>
        </w:rPr>
        <w:t>3</w:t>
      </w:r>
      <w:r w:rsidRPr="00D43B18">
        <w:t>+K</w:t>
      </w:r>
      <w:r w:rsidRPr="00D43B18">
        <w:rPr>
          <w:vertAlign w:val="subscript"/>
        </w:rPr>
        <w:t>2</w:t>
      </w:r>
      <w:r w:rsidRPr="00D43B18">
        <w:t>CO</w:t>
      </w:r>
      <w:r w:rsidRPr="00D43B18">
        <w:rPr>
          <w:vertAlign w:val="subscript"/>
        </w:rPr>
        <w:t>3</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MgCO</w:t>
      </w:r>
      <w:r w:rsidRPr="00D43B18">
        <w:rPr>
          <w:vertAlign w:val="subscript"/>
        </w:rPr>
        <w:t>3</w:t>
      </w:r>
      <w:r w:rsidRPr="00D43B18">
        <w:t>+2NaOH→Mg(OH)</w:t>
      </w:r>
      <w:r w:rsidRPr="00D43B18">
        <w:rPr>
          <w:vertAlign w:val="subscript"/>
        </w:rPr>
        <w:t>2</w:t>
      </w:r>
      <w:r w:rsidRPr="00D43B18">
        <w:t>+Na</w:t>
      </w:r>
      <w:r w:rsidRPr="00D43B18">
        <w:rPr>
          <w:vertAlign w:val="subscript"/>
        </w:rPr>
        <w:t>2</w:t>
      </w:r>
      <w:r w:rsidRPr="00D43B18">
        <w:t>CO</w:t>
      </w:r>
      <w:r w:rsidRPr="00D43B18">
        <w:rPr>
          <w:vertAlign w:val="subscript"/>
        </w:rPr>
        <w:t>3</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 xml:space="preserve">Нерастворимые соли не реагируют ни </w:t>
      </w:r>
      <w:proofErr w:type="gramStart"/>
      <w:r w:rsidRPr="00D43B18">
        <w:t>с</w:t>
      </w:r>
      <w:proofErr w:type="gramEnd"/>
      <w:r w:rsidRPr="00D43B18">
        <w:t xml:space="preserve"> щелочами, ни с другими солями.</w:t>
      </w:r>
    </w:p>
    <w:p w:rsidR="00D43B18" w:rsidRPr="00D43B18" w:rsidRDefault="00D43B18" w:rsidP="00D43B18">
      <w:pPr>
        <w:pBdr>
          <w:top w:val="nil"/>
          <w:left w:val="nil"/>
          <w:bottom w:val="nil"/>
          <w:right w:val="nil"/>
          <w:between w:val="nil"/>
        </w:pBdr>
        <w:tabs>
          <w:tab w:val="left" w:pos="142"/>
        </w:tabs>
        <w:spacing w:line="360" w:lineRule="auto"/>
        <w:ind w:firstLine="709"/>
        <w:jc w:val="both"/>
        <w:rPr>
          <w:lang w:val="en-US"/>
        </w:rPr>
      </w:pPr>
      <w:r w:rsidRPr="00D43B18">
        <w:rPr>
          <w:lang w:val="en-US"/>
        </w:rPr>
        <w:t>CaCO</w:t>
      </w:r>
      <w:r w:rsidRPr="00D43B18">
        <w:rPr>
          <w:vertAlign w:val="subscript"/>
          <w:lang w:val="en-US"/>
        </w:rPr>
        <w:t>3</w:t>
      </w:r>
      <w:r w:rsidRPr="00D43B18">
        <w:rPr>
          <w:lang w:val="en-US"/>
        </w:rPr>
        <w:t>+H</w:t>
      </w:r>
      <w:r w:rsidRPr="00D43B18">
        <w:rPr>
          <w:vertAlign w:val="subscript"/>
          <w:lang w:val="en-US"/>
        </w:rPr>
        <w:t>2</w:t>
      </w:r>
      <w:r w:rsidRPr="00D43B18">
        <w:rPr>
          <w:lang w:val="en-US"/>
        </w:rPr>
        <w:t>SiO</w:t>
      </w:r>
      <w:r w:rsidRPr="00D43B18">
        <w:rPr>
          <w:vertAlign w:val="subscript"/>
          <w:lang w:val="en-US"/>
        </w:rPr>
        <w:t>3</w:t>
      </w:r>
      <w:r w:rsidRPr="00D43B18">
        <w:rPr>
          <w:lang w:val="en-US"/>
        </w:rPr>
        <w:t>→CaSiO</w:t>
      </w:r>
      <w:r w:rsidRPr="00D43B18">
        <w:rPr>
          <w:vertAlign w:val="subscript"/>
          <w:lang w:val="en-US"/>
        </w:rPr>
        <w:t>3</w:t>
      </w:r>
      <w:r w:rsidRPr="00D43B18">
        <w:rPr>
          <w:lang w:val="en-US"/>
        </w:rPr>
        <w:t>+CO</w:t>
      </w:r>
      <w:r w:rsidRPr="00D43B18">
        <w:rPr>
          <w:vertAlign w:val="subscript"/>
          <w:lang w:val="en-US"/>
        </w:rPr>
        <w:t>2</w:t>
      </w:r>
      <w:r w:rsidRPr="00D43B18">
        <w:rPr>
          <w:lang w:val="en-US"/>
        </w:rPr>
        <w:t>+H</w:t>
      </w:r>
      <w:r w:rsidRPr="00D43B18">
        <w:rPr>
          <w:vertAlign w:val="subscript"/>
          <w:lang w:val="en-US"/>
        </w:rPr>
        <w:t>2</w:t>
      </w:r>
      <w:r w:rsidRPr="00D43B18">
        <w:rPr>
          <w:lang w:val="en-US"/>
        </w:rPr>
        <w:t>O</w:t>
      </w:r>
    </w:p>
    <w:p w:rsidR="00D43B18" w:rsidRPr="00D43B18" w:rsidRDefault="00D43B18" w:rsidP="00D43B18">
      <w:pPr>
        <w:pBdr>
          <w:top w:val="nil"/>
          <w:left w:val="nil"/>
          <w:bottom w:val="nil"/>
          <w:right w:val="nil"/>
          <w:between w:val="nil"/>
        </w:pBdr>
        <w:tabs>
          <w:tab w:val="left" w:pos="142"/>
        </w:tabs>
        <w:spacing w:line="360" w:lineRule="auto"/>
        <w:ind w:firstLine="709"/>
        <w:jc w:val="both"/>
        <w:rPr>
          <w:lang w:val="en-US"/>
        </w:rPr>
      </w:pPr>
      <w:r w:rsidRPr="00D43B18">
        <w:rPr>
          <w:lang w:val="en-US"/>
        </w:rPr>
        <w:t>CaCO</w:t>
      </w:r>
      <w:r w:rsidRPr="00D43B18">
        <w:rPr>
          <w:vertAlign w:val="subscript"/>
          <w:lang w:val="en-US"/>
        </w:rPr>
        <w:t>3</w:t>
      </w:r>
      <w:r w:rsidRPr="00D43B18">
        <w:rPr>
          <w:lang w:val="en-US"/>
        </w:rPr>
        <w:t>+Na</w:t>
      </w:r>
      <w:r w:rsidRPr="00D43B18">
        <w:rPr>
          <w:vertAlign w:val="subscript"/>
          <w:lang w:val="en-US"/>
        </w:rPr>
        <w:t>2</w:t>
      </w:r>
      <w:r w:rsidRPr="00D43B18">
        <w:rPr>
          <w:lang w:val="en-US"/>
        </w:rPr>
        <w:t>SiO</w:t>
      </w:r>
      <w:r w:rsidRPr="00D43B18">
        <w:rPr>
          <w:vertAlign w:val="subscript"/>
          <w:lang w:val="en-US"/>
        </w:rPr>
        <w:t>3</w:t>
      </w:r>
      <w:r w:rsidRPr="00D43B18">
        <w:rPr>
          <w:lang w:val="en-US"/>
        </w:rPr>
        <w:t>→CaSiO</w:t>
      </w:r>
      <w:r w:rsidRPr="00D43B18">
        <w:rPr>
          <w:vertAlign w:val="subscript"/>
          <w:lang w:val="en-US"/>
        </w:rPr>
        <w:t>3</w:t>
      </w:r>
      <w:r w:rsidRPr="00D43B18">
        <w:rPr>
          <w:lang w:val="en-US"/>
        </w:rPr>
        <w:t>+Na</w:t>
      </w:r>
      <w:r w:rsidRPr="00D43B18">
        <w:rPr>
          <w:vertAlign w:val="subscript"/>
          <w:lang w:val="en-US"/>
        </w:rPr>
        <w:t>2</w:t>
      </w:r>
      <w:r w:rsidRPr="00D43B18">
        <w:rPr>
          <w:lang w:val="en-US"/>
        </w:rPr>
        <w:t>CO</w:t>
      </w:r>
      <w:r w:rsidRPr="00D43B18">
        <w:rPr>
          <w:vertAlign w:val="subscript"/>
          <w:lang w:val="en-US"/>
        </w:rPr>
        <w:t>3</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Кремниевая кислота слабее, чем угольная, поэтому она не сможет вытеснить ее из соли.</w:t>
      </w:r>
    </w:p>
    <w:p w:rsidR="00D43B18" w:rsidRPr="00D43B18" w:rsidRDefault="00D43B18" w:rsidP="00D43B18">
      <w:pPr>
        <w:pBdr>
          <w:top w:val="nil"/>
          <w:left w:val="nil"/>
          <w:bottom w:val="nil"/>
          <w:right w:val="nil"/>
          <w:between w:val="nil"/>
        </w:pBdr>
        <w:tabs>
          <w:tab w:val="left" w:pos="142"/>
        </w:tabs>
        <w:spacing w:line="360" w:lineRule="auto"/>
        <w:ind w:firstLine="709"/>
        <w:jc w:val="both"/>
      </w:pPr>
      <w:r w:rsidRPr="00D43B18">
        <w:t>Много уравнений реакций такого вида:</w:t>
      </w:r>
    </w:p>
    <w:p w:rsidR="00D43B18" w:rsidRPr="00D43B18" w:rsidRDefault="00D43B18" w:rsidP="00D43B18">
      <w:pPr>
        <w:pBdr>
          <w:top w:val="nil"/>
          <w:left w:val="nil"/>
          <w:bottom w:val="nil"/>
          <w:right w:val="nil"/>
          <w:between w:val="nil"/>
        </w:pBdr>
        <w:tabs>
          <w:tab w:val="left" w:pos="142"/>
        </w:tabs>
        <w:spacing w:line="360" w:lineRule="auto"/>
        <w:ind w:firstLine="709"/>
        <w:jc w:val="both"/>
      </w:pPr>
      <w:proofErr w:type="spellStart"/>
      <w:r w:rsidRPr="00D43B18">
        <w:lastRenderedPageBreak/>
        <w:t>KOH+Na</w:t>
      </w:r>
      <w:proofErr w:type="spellEnd"/>
      <w:r w:rsidRPr="00D43B18">
        <w:t>→</w:t>
      </w:r>
      <w:proofErr w:type="spellStart"/>
      <w:r w:rsidRPr="00D43B18">
        <w:t>NaOH+K</w:t>
      </w:r>
      <w:proofErr w:type="spellEnd"/>
    </w:p>
    <w:p w:rsidR="00440B27" w:rsidRPr="00440B27" w:rsidRDefault="00440B27" w:rsidP="00440B27">
      <w:pPr>
        <w:spacing w:line="360" w:lineRule="auto"/>
        <w:ind w:firstLine="709"/>
        <w:jc w:val="both"/>
        <w:rPr>
          <w:rFonts w:eastAsia="Times New Roman"/>
        </w:rPr>
      </w:pPr>
      <w:r w:rsidRPr="00440B27">
        <w:rPr>
          <w:rFonts w:eastAsia="Times New Roman"/>
        </w:rPr>
        <w:t xml:space="preserve">22 задание – это расчетная задача. Каким способом решается данная задача не так важно. Она может решаться, как через количество вещества, так и с помощью пропорции. </w:t>
      </w:r>
      <w:proofErr w:type="gramStart"/>
      <w:r w:rsidRPr="00440B27">
        <w:rPr>
          <w:rFonts w:eastAsia="Times New Roman"/>
        </w:rPr>
        <w:t>Но в задаче должен присутствовать алгоритм оформления, который включает наличие: 1) Дано, где записываются данные задачи, 2) Уравнение реакции с коэффициентами, 3) Формулы, с помощью которых находятся необходимые величины, как правило, это формула массовой доли вещества и количества вещества, 4) Записывается решение задачи с единицами измерения, 5) Находится необходимая величина, и записывается ответ.</w:t>
      </w:r>
      <w:proofErr w:type="gramEnd"/>
      <w:r w:rsidRPr="00440B27">
        <w:rPr>
          <w:rFonts w:eastAsia="Times New Roman"/>
        </w:rPr>
        <w:t xml:space="preserve"> К сожалению, очень мало работ, в которых есть полное и грамотное решение задачи. Основные допущенные ошибки – не расставлены коэффициенты в уравнении реакции, не находится масса вещества через массу раствора и массовую долю; присутствуют и математические ошибки, при подсчете необходимых величин.</w:t>
      </w:r>
    </w:p>
    <w:p w:rsidR="00440B27" w:rsidRPr="00440B27" w:rsidRDefault="00440B27" w:rsidP="00440B27">
      <w:pPr>
        <w:pStyle w:val="a3"/>
        <w:spacing w:after="0" w:line="360" w:lineRule="auto"/>
        <w:ind w:left="0" w:firstLine="709"/>
        <w:jc w:val="both"/>
        <w:rPr>
          <w:rFonts w:ascii="Times New Roman" w:eastAsia="Times New Roman" w:hAnsi="Times New Roman"/>
          <w:bCs/>
          <w:iCs/>
          <w:sz w:val="24"/>
          <w:szCs w:val="24"/>
          <w:lang w:eastAsia="ru-RU"/>
        </w:rPr>
      </w:pPr>
      <w:r w:rsidRPr="00440B27">
        <w:rPr>
          <w:rFonts w:ascii="Times New Roman" w:eastAsia="Times New Roman" w:hAnsi="Times New Roman"/>
          <w:sz w:val="24"/>
          <w:szCs w:val="24"/>
        </w:rPr>
        <w:t>23 задание было выполнено лучше остальных</w:t>
      </w:r>
      <w:r w:rsidR="00F11973">
        <w:rPr>
          <w:rFonts w:ascii="Times New Roman" w:eastAsia="Times New Roman" w:hAnsi="Times New Roman"/>
          <w:sz w:val="24"/>
          <w:szCs w:val="24"/>
        </w:rPr>
        <w:t xml:space="preserve"> (91,4% выполнения)</w:t>
      </w:r>
      <w:r w:rsidRPr="00440B27">
        <w:rPr>
          <w:rFonts w:ascii="Times New Roman" w:eastAsia="Times New Roman" w:hAnsi="Times New Roman"/>
          <w:sz w:val="24"/>
          <w:szCs w:val="24"/>
        </w:rPr>
        <w:t>. Было достаточно много работ, в которых из второй части выполнено только это задание. Это можно объяснить тем, что список реактивов, которые необходимы для этого задания, был дан в школы. Типичные ошибки в данном задании – это отсутствие коэффициентов в уравнениях реакций. Доля учеников, приступившая к проведению эксперимента, возросла по сравнению с прошлыми годами.</w:t>
      </w:r>
    </w:p>
    <w:p w:rsidR="0098141E" w:rsidRPr="008247C0" w:rsidRDefault="0098141E" w:rsidP="0098141E">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t>Соотнесение результатов выполнения заданий с учебными программами, используемыми в округе  учебниками и иными особенностями региональной/муниципальной систем образования</w:t>
      </w:r>
    </w:p>
    <w:p w:rsidR="0098141E" w:rsidRPr="0098141E" w:rsidRDefault="0098141E" w:rsidP="0098141E">
      <w:pPr>
        <w:spacing w:before="240" w:after="240" w:line="360" w:lineRule="auto"/>
        <w:jc w:val="both"/>
      </w:pPr>
      <w:proofErr w:type="gramStart"/>
      <w:r w:rsidRPr="0098141E">
        <w:t xml:space="preserve">Анализ УМК, используемых в образовательных организациях, расположенных на территории </w:t>
      </w:r>
      <w:r>
        <w:t>Поволжского округа</w:t>
      </w:r>
      <w:r w:rsidRPr="0098141E">
        <w:t>, в 2022-2023 учебном году показал, что самыми популярными являются учебные методические пособия по химии под редакциями:</w:t>
      </w:r>
      <w:proofErr w:type="gramEnd"/>
      <w:r w:rsidRPr="0098141E">
        <w:t xml:space="preserve"> Габриеляна О.С., Остроумова И.Г., Сладкова С.А. и Рудзитиса Г.Е., Фельдмана Ф.Г.. Тексты заданий, модели экзаменационной работы в целом соответствовали формулировкам, принятым в учебниках и учебных пособиях, включенных в Федеральный перечень учебников. Соотнесение результатов выполнения заданий экзаменационной работы в 2023 году с учебными программами, УМК по химии, используемыми в Самарской области, показало соответствие программ и учебников элементам содержания, необходимым для успешного прохождения ГИА. Об этом свидетельствует уровень обученности участников и качество обучения ОГЭ по региону.</w:t>
      </w:r>
    </w:p>
    <w:p w:rsidR="007A74B7" w:rsidRPr="002178E5" w:rsidRDefault="009E774F" w:rsidP="002178E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D34230" w:rsidRPr="00D34230" w:rsidRDefault="00D34230" w:rsidP="00D34230">
      <w:pPr>
        <w:pBdr>
          <w:top w:val="none" w:sz="4" w:space="0" w:color="000000"/>
          <w:left w:val="none" w:sz="4" w:space="0" w:color="000000"/>
          <w:bottom w:val="none" w:sz="4" w:space="0" w:color="000000"/>
          <w:right w:val="none" w:sz="4" w:space="0" w:color="000000"/>
        </w:pBdr>
        <w:shd w:val="clear" w:color="FFFFFF" w:fill="FFFFFF"/>
        <w:spacing w:line="360" w:lineRule="auto"/>
        <w:ind w:firstLine="709"/>
        <w:jc w:val="both"/>
      </w:pPr>
      <w:r w:rsidRPr="00D34230">
        <w:lastRenderedPageBreak/>
        <w:t xml:space="preserve">Анализ результатов экзамена по химии в 9 классе показал хороший уровень предметной и </w:t>
      </w:r>
      <w:proofErr w:type="spellStart"/>
      <w:r w:rsidRPr="00D34230">
        <w:t>метапредметной</w:t>
      </w:r>
      <w:proofErr w:type="spellEnd"/>
      <w:r w:rsidRPr="00D34230">
        <w:t xml:space="preserve"> подготовки учащихся по предмету. Из 24 заданий в семи заданиях средний процент выполнения меньше 50% – это:</w:t>
      </w:r>
    </w:p>
    <w:p w:rsidR="00D34230" w:rsidRPr="00D34230" w:rsidRDefault="00D34230" w:rsidP="00F11973">
      <w:pPr>
        <w:pBdr>
          <w:top w:val="none" w:sz="4" w:space="0" w:color="000000"/>
          <w:left w:val="none" w:sz="4" w:space="0" w:color="000000"/>
          <w:bottom w:val="none" w:sz="4" w:space="0" w:color="000000"/>
          <w:right w:val="none" w:sz="4" w:space="0" w:color="000000"/>
        </w:pBdr>
        <w:shd w:val="clear" w:color="FFFFFF" w:fill="FFFFFF"/>
        <w:spacing w:line="360" w:lineRule="auto"/>
        <w:jc w:val="both"/>
      </w:pPr>
      <w:r w:rsidRPr="00D34230">
        <w:t>16 задание базового уровня, средний процент выполнения – 27%;</w:t>
      </w:r>
    </w:p>
    <w:p w:rsidR="009B0E3B" w:rsidRPr="00D34230" w:rsidRDefault="00D34230" w:rsidP="00D34230">
      <w:pPr>
        <w:spacing w:line="360" w:lineRule="auto"/>
        <w:jc w:val="both"/>
      </w:pPr>
      <w:r w:rsidRPr="00D34230">
        <w:t>19 задание базового уровня, средний процент выполнения – 46,5%. Выпускникам необходимо было вычислить массовую долю химического элемента по формуле соединения и решить задачу использования химических веществ в различных отраслях (фармакологии, агротехники и т.п.). Выпускники не продемонстрировали умения ориентироваться в содержании текста, понимать его целостный смысл, устанавливать взаимосвязь между описанными в тексте процессами и реальными жизненными ситуациями.</w:t>
      </w:r>
    </w:p>
    <w:p w:rsidR="00406E15" w:rsidRPr="00406E15" w:rsidRDefault="00406E15" w:rsidP="00406E1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Pr>
          <w:rFonts w:ascii="Times New Roman" w:eastAsia="Times New Roman" w:hAnsi="Times New Roman"/>
          <w:b/>
          <w:sz w:val="24"/>
          <w:szCs w:val="24"/>
          <w:lang w:eastAsia="ru-RU"/>
        </w:rPr>
        <w:t xml:space="preserve">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406E15" w:rsidRPr="00FA5C08" w:rsidRDefault="00406E15" w:rsidP="00406E15"/>
    <w:p w:rsidR="00D34230" w:rsidRPr="00D34230" w:rsidRDefault="00D34230" w:rsidP="00D34230">
      <w:pPr>
        <w:spacing w:line="360" w:lineRule="auto"/>
        <w:ind w:firstLine="709"/>
        <w:jc w:val="both"/>
      </w:pPr>
      <w:r w:rsidRPr="00D34230">
        <w:t xml:space="preserve">Если посмотреть по статистике, то на базовом уровне самый высокий процент выполнения следующих тем: </w:t>
      </w:r>
    </w:p>
    <w:p w:rsidR="00D34230" w:rsidRPr="00D34230" w:rsidRDefault="00D34230" w:rsidP="00D34230">
      <w:pPr>
        <w:spacing w:line="360" w:lineRule="auto"/>
        <w:ind w:firstLine="709"/>
        <w:jc w:val="both"/>
      </w:pPr>
      <w:r w:rsidRPr="00D34230">
        <w:t>1. Строение атома. Строение электронных оболочек атомов первых 20 химических элементов Периодической системы Д.И. Менделеева (номер 6).</w:t>
      </w:r>
    </w:p>
    <w:p w:rsidR="00D34230" w:rsidRPr="00D34230" w:rsidRDefault="00D34230" w:rsidP="00D34230">
      <w:pPr>
        <w:spacing w:line="360" w:lineRule="auto"/>
        <w:ind w:firstLine="709"/>
        <w:jc w:val="both"/>
      </w:pPr>
      <w:r w:rsidRPr="00D34230">
        <w:t>2. Валентность. Степень окисления химических элементов (номер 4).</w:t>
      </w:r>
    </w:p>
    <w:p w:rsidR="00D34230" w:rsidRPr="00D34230" w:rsidRDefault="00D34230" w:rsidP="00D34230">
      <w:pPr>
        <w:tabs>
          <w:tab w:val="left" w:pos="993"/>
        </w:tabs>
        <w:spacing w:line="360" w:lineRule="auto"/>
        <w:ind w:firstLine="709"/>
        <w:jc w:val="both"/>
      </w:pPr>
      <w:r w:rsidRPr="00D34230">
        <w:t>3. Строение вещества. Химическая связь: ковалентная (полярная и неполярная), ионная, металлическая (номер 5).</w:t>
      </w:r>
    </w:p>
    <w:p w:rsidR="00D34230" w:rsidRPr="00D34230" w:rsidRDefault="00D34230" w:rsidP="00D34230">
      <w:pPr>
        <w:tabs>
          <w:tab w:val="left" w:pos="993"/>
        </w:tabs>
        <w:spacing w:line="360" w:lineRule="auto"/>
        <w:ind w:firstLine="709"/>
        <w:jc w:val="both"/>
      </w:pPr>
      <w:r w:rsidRPr="00D34230">
        <w:t>4. 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 (номер 11).</w:t>
      </w:r>
    </w:p>
    <w:p w:rsidR="00D34230" w:rsidRPr="00D34230" w:rsidRDefault="00D34230" w:rsidP="00D34230">
      <w:pPr>
        <w:tabs>
          <w:tab w:val="left" w:pos="851"/>
          <w:tab w:val="left" w:pos="993"/>
        </w:tabs>
        <w:spacing w:line="360" w:lineRule="auto"/>
        <w:ind w:firstLine="709"/>
        <w:jc w:val="both"/>
      </w:pPr>
      <w:r w:rsidRPr="00D34230">
        <w:t xml:space="preserve">5.Окислительно-восстановительные </w:t>
      </w:r>
      <w:proofErr w:type="spellStart"/>
      <w:r w:rsidRPr="00D34230">
        <w:t>реакции</w:t>
      </w:r>
      <w:proofErr w:type="gramStart"/>
      <w:r w:rsidRPr="00D34230">
        <w:t>.О</w:t>
      </w:r>
      <w:proofErr w:type="gramEnd"/>
      <w:r w:rsidRPr="00D34230">
        <w:t>кислитель</w:t>
      </w:r>
      <w:proofErr w:type="spellEnd"/>
      <w:r w:rsidRPr="00D34230">
        <w:t xml:space="preserve"> и восстановитель (номер 15).</w:t>
      </w:r>
    </w:p>
    <w:p w:rsidR="00D34230" w:rsidRPr="00D34230" w:rsidRDefault="00D34230" w:rsidP="00D34230">
      <w:pPr>
        <w:tabs>
          <w:tab w:val="left" w:pos="851"/>
          <w:tab w:val="left" w:pos="993"/>
        </w:tabs>
        <w:spacing w:line="360" w:lineRule="auto"/>
        <w:ind w:firstLine="709"/>
        <w:jc w:val="both"/>
      </w:pPr>
      <w:r w:rsidRPr="00D34230">
        <w:t>6. Вычисление массовой доли химического элемента в веществе (номер 18).</w:t>
      </w:r>
    </w:p>
    <w:p w:rsidR="00D34230" w:rsidRPr="00D34230" w:rsidRDefault="00D34230" w:rsidP="00D34230">
      <w:pPr>
        <w:tabs>
          <w:tab w:val="left" w:pos="142"/>
        </w:tabs>
        <w:spacing w:line="360" w:lineRule="auto"/>
        <w:ind w:left="709" w:hanging="709"/>
      </w:pPr>
      <w:r w:rsidRPr="00D34230">
        <w:t>Из повышенного уровня сложности больший процент выполнения тем</w:t>
      </w:r>
      <w:proofErr w:type="gramStart"/>
      <w:r w:rsidRPr="00D34230">
        <w:t xml:space="preserve"> :</w:t>
      </w:r>
      <w:proofErr w:type="gramEnd"/>
      <w:r w:rsidRPr="00D34230">
        <w:br/>
        <w:t xml:space="preserve">1. Окислительно-восстановительные реакции. Окислитель и восстановитель (20 задание). </w:t>
      </w:r>
    </w:p>
    <w:p w:rsidR="00D34230" w:rsidRPr="00D34230" w:rsidRDefault="00D34230" w:rsidP="00D34230">
      <w:pPr>
        <w:tabs>
          <w:tab w:val="left" w:pos="142"/>
        </w:tabs>
        <w:spacing w:line="360" w:lineRule="auto"/>
        <w:ind w:firstLine="709"/>
      </w:pPr>
      <w:r w:rsidRPr="00D34230">
        <w:t>2. Решение экспериментальных задач по теме «Неметаллы IV–VII групп и их соединения»; «Металлы и их соединения». Качественные реакции на ионы в растворе (23 задание).</w:t>
      </w:r>
    </w:p>
    <w:p w:rsidR="00D34230" w:rsidRPr="00D34230" w:rsidRDefault="00D34230" w:rsidP="00D34230">
      <w:pPr>
        <w:tabs>
          <w:tab w:val="left" w:pos="142"/>
        </w:tabs>
        <w:spacing w:line="360" w:lineRule="auto"/>
        <w:ind w:firstLine="709"/>
        <w:rPr>
          <w:rFonts w:eastAsia="Times New Roman"/>
          <w:bCs/>
          <w:iCs/>
        </w:rPr>
      </w:pPr>
      <w:r w:rsidRPr="00D34230">
        <w:t>3. Правила безопасной работы в школьной лаборатории. Лабораторная посуда и оборудование. Разделение смесей и очистка веществ. Приготовление растворов (24 задание)</w:t>
      </w:r>
      <w:r w:rsidRPr="00D34230">
        <w:rPr>
          <w:rFonts w:eastAsia="Times New Roman"/>
          <w:bCs/>
          <w:iCs/>
        </w:rPr>
        <w:t>.</w:t>
      </w:r>
    </w:p>
    <w:p w:rsidR="00D34230" w:rsidRPr="00D34230" w:rsidRDefault="00D34230" w:rsidP="00D34230">
      <w:pPr>
        <w:pStyle w:val="a3"/>
        <w:numPr>
          <w:ilvl w:val="0"/>
          <w:numId w:val="39"/>
        </w:numPr>
        <w:spacing w:before="100" w:beforeAutospacing="1" w:after="100" w:afterAutospacing="1" w:line="240" w:lineRule="auto"/>
        <w:ind w:left="0" w:firstLine="0"/>
        <w:contextualSpacing w:val="0"/>
        <w:jc w:val="both"/>
        <w:rPr>
          <w:rFonts w:ascii="Times New Roman" w:hAnsi="Times New Roman"/>
          <w:bCs/>
          <w:i/>
          <w:iCs/>
          <w:sz w:val="24"/>
          <w:szCs w:val="24"/>
        </w:rPr>
      </w:pPr>
      <w:r w:rsidRPr="00D34230">
        <w:rPr>
          <w:rFonts w:ascii="Times New Roman" w:hAnsi="Times New Roman"/>
          <w:bCs/>
          <w:i/>
          <w:iCs/>
          <w:sz w:val="24"/>
          <w:szCs w:val="24"/>
        </w:rPr>
        <w:lastRenderedPageBreak/>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rsidR="00D34230" w:rsidRPr="00D34230" w:rsidRDefault="00D34230" w:rsidP="00D34230">
      <w:pPr>
        <w:spacing w:line="360" w:lineRule="auto"/>
        <w:ind w:firstLine="709"/>
        <w:jc w:val="both"/>
        <w:rPr>
          <w:rFonts w:eastAsia="Times New Roman"/>
          <w:bCs/>
          <w:iCs/>
        </w:rPr>
      </w:pPr>
      <w:r w:rsidRPr="00D34230">
        <w:t xml:space="preserve">Следует обратить внимание на оформление 20 и 21 задания: степень окисления имеет обозначение </w:t>
      </w:r>
      <w:r w:rsidRPr="00D34230">
        <w:rPr>
          <w:lang w:val="en-US"/>
        </w:rPr>
        <w:t>Cu</w:t>
      </w:r>
      <w:r w:rsidRPr="00D34230">
        <w:rPr>
          <w:b/>
          <w:vertAlign w:val="superscript"/>
        </w:rPr>
        <w:t>+2</w:t>
      </w:r>
      <w:r w:rsidRPr="00D34230">
        <w:t>, заряд иона С</w:t>
      </w:r>
      <w:r w:rsidRPr="00D34230">
        <w:rPr>
          <w:lang w:val="en-US"/>
        </w:rPr>
        <w:t>u</w:t>
      </w:r>
      <w:r w:rsidRPr="00D34230">
        <w:rPr>
          <w:vertAlign w:val="superscript"/>
        </w:rPr>
        <w:t>2+</w:t>
      </w:r>
      <w:r w:rsidRPr="00D34230">
        <w:t>, в 9 классе не снижались баллы за ошибки такого рода, при сдаче ЕГЭ это одна из распространенных ошибок. Требуется более полное и глубокое изучение свойств основных классов неорганических соединений, оксидов, кислот, солей, оснований, амфотерных соединений. Необходимо больше времени уделить при планировании уроков на отработку написания химических уравнений, изучение свойств химических соединений. Также по статистике невысок процент выполнения расчетной задачи с использованием химического уравнения.</w:t>
      </w:r>
    </w:p>
    <w:p w:rsidR="00D34230" w:rsidRPr="00D34230" w:rsidRDefault="00D34230" w:rsidP="00D34230">
      <w:pPr>
        <w:pStyle w:val="a3"/>
        <w:numPr>
          <w:ilvl w:val="0"/>
          <w:numId w:val="39"/>
        </w:numPr>
        <w:spacing w:before="100" w:beforeAutospacing="1" w:after="100" w:afterAutospacing="1" w:line="240" w:lineRule="auto"/>
        <w:ind w:left="0" w:firstLine="0"/>
        <w:contextualSpacing w:val="0"/>
        <w:jc w:val="both"/>
        <w:rPr>
          <w:rFonts w:ascii="Times New Roman" w:hAnsi="Times New Roman"/>
          <w:bCs/>
          <w:i/>
          <w:iCs/>
          <w:sz w:val="24"/>
          <w:szCs w:val="24"/>
        </w:rPr>
      </w:pPr>
      <w:r w:rsidRPr="00D34230">
        <w:rPr>
          <w:rFonts w:ascii="Times New Roman" w:hAnsi="Times New Roman"/>
          <w:bCs/>
          <w:i/>
          <w:iCs/>
          <w:sz w:val="24"/>
          <w:szCs w:val="24"/>
        </w:rPr>
        <w:t xml:space="preserve">Выводы о вероятных причинах затруднений и типичных </w:t>
      </w:r>
      <w:proofErr w:type="gramStart"/>
      <w:r w:rsidRPr="00D34230">
        <w:rPr>
          <w:rFonts w:ascii="Times New Roman" w:hAnsi="Times New Roman"/>
          <w:bCs/>
          <w:i/>
          <w:iCs/>
          <w:sz w:val="24"/>
          <w:szCs w:val="24"/>
        </w:rPr>
        <w:t>ошибок</w:t>
      </w:r>
      <w:proofErr w:type="gramEnd"/>
      <w:r w:rsidRPr="00D34230">
        <w:rPr>
          <w:rFonts w:ascii="Times New Roman" w:hAnsi="Times New Roman"/>
          <w:bCs/>
          <w:i/>
          <w:iCs/>
          <w:sz w:val="24"/>
          <w:szCs w:val="24"/>
        </w:rPr>
        <w:t xml:space="preserve"> обучающихся субъекта Российской Федерации</w:t>
      </w:r>
    </w:p>
    <w:p w:rsidR="00D34230" w:rsidRPr="00D34230" w:rsidRDefault="00D34230" w:rsidP="00D34230">
      <w:pPr>
        <w:spacing w:line="360" w:lineRule="auto"/>
        <w:ind w:firstLine="709"/>
        <w:jc w:val="both"/>
        <w:rPr>
          <w:rFonts w:eastAsia="Times New Roman"/>
          <w:bCs/>
          <w:iCs/>
        </w:rPr>
      </w:pPr>
      <w:r w:rsidRPr="00D34230">
        <w:rPr>
          <w:rFonts w:eastAsia="Times New Roman"/>
          <w:bCs/>
          <w:iCs/>
        </w:rPr>
        <w:t>Ученики, которые сдавали экзамены в этом году, два года частично изучали химию в дистанционном режиме, этим объясняется слабый уровень знаний по теме: «Основные классы неорганических соединений».</w:t>
      </w:r>
    </w:p>
    <w:p w:rsidR="00D34230" w:rsidRPr="00D34230" w:rsidRDefault="00D34230" w:rsidP="00D34230">
      <w:pPr>
        <w:pStyle w:val="a3"/>
        <w:numPr>
          <w:ilvl w:val="0"/>
          <w:numId w:val="39"/>
        </w:numPr>
        <w:spacing w:before="100" w:beforeAutospacing="1" w:after="100" w:afterAutospacing="1" w:line="240" w:lineRule="auto"/>
        <w:ind w:left="0" w:firstLine="0"/>
        <w:contextualSpacing w:val="0"/>
        <w:jc w:val="both"/>
        <w:rPr>
          <w:rFonts w:ascii="Times New Roman" w:hAnsi="Times New Roman"/>
          <w:bCs/>
          <w:i/>
          <w:iCs/>
          <w:sz w:val="24"/>
          <w:szCs w:val="24"/>
        </w:rPr>
      </w:pPr>
      <w:r w:rsidRPr="00D34230">
        <w:rPr>
          <w:rFonts w:ascii="Times New Roman" w:hAnsi="Times New Roman"/>
          <w:bCs/>
          <w:i/>
          <w:iCs/>
          <w:sz w:val="24"/>
          <w:szCs w:val="24"/>
        </w:rPr>
        <w:t>Прочие выводы</w:t>
      </w:r>
    </w:p>
    <w:p w:rsidR="0082776F" w:rsidRPr="00D34230" w:rsidRDefault="00D34230" w:rsidP="00D34230">
      <w:pPr>
        <w:spacing w:line="360" w:lineRule="auto"/>
        <w:ind w:firstLine="709"/>
        <w:jc w:val="both"/>
        <w:rPr>
          <w:rFonts w:eastAsia="Times New Roman"/>
          <w:bCs/>
          <w:iCs/>
        </w:rPr>
      </w:pPr>
      <w:r w:rsidRPr="00D34230">
        <w:rPr>
          <w:rFonts w:eastAsia="Times New Roman"/>
          <w:bCs/>
          <w:iCs/>
        </w:rPr>
        <w:t>Химия – это экспериментальная наука, на уроках химии следует больше времени уделять практической направленности.</w:t>
      </w:r>
    </w:p>
    <w:p w:rsidR="005060D9" w:rsidRPr="00290F80" w:rsidRDefault="00661C2E" w:rsidP="00290F80">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4D4369" w:rsidRDefault="004D4369" w:rsidP="004D4369">
      <w:pPr>
        <w:spacing w:before="240"/>
        <w:jc w:val="both"/>
        <w:rPr>
          <w:rFonts w:eastAsia="Times New Roman"/>
          <w:b/>
        </w:rPr>
      </w:pPr>
      <w:r w:rsidRPr="004D4369">
        <w:rPr>
          <w:rFonts w:eastAsia="Times New Roman"/>
          <w:b/>
        </w:rPr>
        <w:t>2.4.1. Рекомендации по совершенствованию преподавания учебного предмета для всех обучающихся</w:t>
      </w:r>
    </w:p>
    <w:p w:rsidR="004D4369" w:rsidRPr="004D4369" w:rsidRDefault="004D4369" w:rsidP="004D4369">
      <w:pPr>
        <w:spacing w:before="240"/>
        <w:jc w:val="both"/>
        <w:rPr>
          <w:rFonts w:eastAsia="Times New Roman"/>
          <w:b/>
        </w:rPr>
      </w:pPr>
      <w:r w:rsidRPr="004D4369">
        <w:rPr>
          <w:rFonts w:eastAsia="Times New Roman"/>
          <w:color w:val="000000"/>
        </w:rPr>
        <w:t xml:space="preserve">В рамках совершенствования </w:t>
      </w:r>
      <w:r w:rsidRPr="004D4369">
        <w:rPr>
          <w:bCs/>
        </w:rPr>
        <w:t>методики преподавания химии:</w:t>
      </w:r>
    </w:p>
    <w:p w:rsidR="004D4369" w:rsidRPr="004D4369" w:rsidRDefault="004D4369" w:rsidP="004D4369">
      <w:pPr>
        <w:pBdr>
          <w:top w:val="none" w:sz="4" w:space="0" w:color="000000"/>
          <w:left w:val="none" w:sz="4" w:space="0" w:color="000000"/>
          <w:bottom w:val="none" w:sz="4" w:space="0" w:color="000000"/>
          <w:right w:val="none" w:sz="4" w:space="0" w:color="000000"/>
        </w:pBdr>
        <w:spacing w:line="360" w:lineRule="auto"/>
        <w:ind w:firstLine="708"/>
        <w:jc w:val="both"/>
      </w:pPr>
      <w:r w:rsidRPr="004D4369">
        <w:rPr>
          <w:rFonts w:eastAsia="Times New Roman"/>
          <w:color w:val="000000"/>
        </w:rPr>
        <w:t>1. С</w:t>
      </w:r>
      <w:r w:rsidRPr="004D4369">
        <w:t>истематически использовать в учебном процессе задания на установление генетической связи между основными классами неорганических веществ и комплексные задания, направленные на проверку химических свой</w:t>
      </w:r>
      <w:proofErr w:type="gramStart"/>
      <w:r w:rsidRPr="004D4369">
        <w:t>ств пр</w:t>
      </w:r>
      <w:proofErr w:type="gramEnd"/>
      <w:r w:rsidRPr="004D4369">
        <w:t>едставителей различных классов неорганических соединений и простых веществ: металлов и неметаллов. Эффективным способом запоминания материала является систематизация его содержания в виде обобщенных таблиц, схем. Следует постоянно включать указанные задания в диагностические материалы к уроку и в домашние задания;</w:t>
      </w:r>
    </w:p>
    <w:p w:rsidR="004D4369" w:rsidRPr="004D4369" w:rsidRDefault="004D4369" w:rsidP="004D4369">
      <w:pPr>
        <w:pBdr>
          <w:top w:val="none" w:sz="4" w:space="0" w:color="000000"/>
          <w:left w:val="none" w:sz="4" w:space="0" w:color="000000"/>
          <w:bottom w:val="none" w:sz="4" w:space="0" w:color="000000"/>
          <w:right w:val="none" w:sz="4" w:space="0" w:color="000000"/>
        </w:pBdr>
        <w:spacing w:line="360" w:lineRule="auto"/>
        <w:ind w:firstLine="708"/>
        <w:jc w:val="both"/>
        <w:rPr>
          <w:rFonts w:eastAsia="Times New Roman"/>
          <w:color w:val="000000"/>
        </w:rPr>
      </w:pPr>
      <w:r w:rsidRPr="004D4369">
        <w:rPr>
          <w:rFonts w:eastAsia="Times New Roman"/>
          <w:color w:val="000000"/>
        </w:rPr>
        <w:t>2. Уделить особое внимание формированию навыков работы с текстом задач на каждом уроке химии.</w:t>
      </w:r>
    </w:p>
    <w:p w:rsidR="004D4369" w:rsidRPr="004D4369" w:rsidRDefault="004D4369" w:rsidP="004D4369">
      <w:pPr>
        <w:pBdr>
          <w:top w:val="none" w:sz="4" w:space="0" w:color="000000"/>
          <w:left w:val="none" w:sz="4" w:space="0" w:color="000000"/>
          <w:bottom w:val="none" w:sz="4" w:space="0" w:color="000000"/>
          <w:right w:val="none" w:sz="4" w:space="0" w:color="000000"/>
        </w:pBdr>
        <w:spacing w:line="360" w:lineRule="auto"/>
        <w:ind w:firstLine="708"/>
        <w:jc w:val="both"/>
      </w:pPr>
      <w:r w:rsidRPr="004D4369">
        <w:lastRenderedPageBreak/>
        <w:t xml:space="preserve">3. Задания на знание качественных реакций на неорганические вещества и ионы традиционно вызывают затруднения у учащихся. Следовательно, имеет смысл тщательно систематизировать сведения о качественных </w:t>
      </w:r>
      <w:proofErr w:type="gramStart"/>
      <w:r w:rsidRPr="004D4369">
        <w:t>реакциях</w:t>
      </w:r>
      <w:proofErr w:type="gramEnd"/>
      <w:r w:rsidRPr="004D4369">
        <w:t xml:space="preserve"> как при освоении курса, так и на этапе обобщения, обращая внимание не только на реагент-идентификатор, но и на характерные признаки происходящих реакций: (цвет и консистенцию осадка, цвет и запах выделяемых газов и т.д.). Необходимо предлагать учащимся комплексные задания, требующие для их выполнения разнообразных интеллектуальных операций, нацеленных на проверку заявленных умений.</w:t>
      </w:r>
    </w:p>
    <w:p w:rsidR="004D4369" w:rsidRPr="004D4369" w:rsidRDefault="004D4369" w:rsidP="004D4369">
      <w:pPr>
        <w:pBdr>
          <w:top w:val="none" w:sz="4" w:space="0" w:color="000000"/>
          <w:left w:val="none" w:sz="4" w:space="0" w:color="000000"/>
          <w:bottom w:val="none" w:sz="4" w:space="0" w:color="000000"/>
          <w:right w:val="none" w:sz="4" w:space="0" w:color="000000"/>
        </w:pBdr>
        <w:spacing w:line="360" w:lineRule="auto"/>
        <w:ind w:firstLine="708"/>
        <w:jc w:val="both"/>
      </w:pPr>
      <w:r w:rsidRPr="004D4369">
        <w:t>4. При обобщении химических свойств основных классов неорганических соединений необходимо анализировать все возможные варианты взаимодействия предлагаемого вещества, основываясь на теории электролитической диссоциации, теории окислительно-восстановительных процессов. Надо также учитывать специфические свойства вещества. При выполнении подобных тренировочных заданий следует обращать внимание обучающихся на внимательное чтение задания и четкое следование инструкции.</w:t>
      </w:r>
    </w:p>
    <w:p w:rsidR="004D4369" w:rsidRPr="004D4369" w:rsidRDefault="004D4369" w:rsidP="004D4369">
      <w:pPr>
        <w:pBdr>
          <w:top w:val="none" w:sz="4" w:space="0" w:color="000000"/>
          <w:left w:val="none" w:sz="4" w:space="0" w:color="000000"/>
          <w:bottom w:val="none" w:sz="4" w:space="0" w:color="000000"/>
          <w:right w:val="none" w:sz="4" w:space="0" w:color="000000"/>
        </w:pBdr>
        <w:spacing w:line="360" w:lineRule="auto"/>
        <w:ind w:firstLine="708"/>
        <w:jc w:val="both"/>
      </w:pPr>
      <w:r w:rsidRPr="004D4369">
        <w:rPr>
          <w:rFonts w:eastAsia="Times New Roman"/>
          <w:color w:val="000000"/>
        </w:rPr>
        <w:t>5. При подготовке обучающихся к экзамену учителю необходимо активно пользоваться открытым банком заданий ОГЭ ФИПИ.</w:t>
      </w:r>
    </w:p>
    <w:p w:rsidR="004D4369" w:rsidRPr="004D4369" w:rsidRDefault="004D4369" w:rsidP="004D4369">
      <w:pPr>
        <w:pBdr>
          <w:top w:val="none" w:sz="4" w:space="0" w:color="000000"/>
          <w:left w:val="none" w:sz="4" w:space="0" w:color="000000"/>
          <w:bottom w:val="none" w:sz="4" w:space="0" w:color="000000"/>
          <w:right w:val="none" w:sz="4" w:space="0" w:color="000000"/>
        </w:pBdr>
        <w:spacing w:line="360" w:lineRule="auto"/>
        <w:ind w:firstLine="708"/>
        <w:jc w:val="both"/>
      </w:pPr>
      <w:r w:rsidRPr="004D4369">
        <w:rPr>
          <w:rFonts w:eastAsia="Times New Roman"/>
          <w:color w:val="000000"/>
        </w:rPr>
        <w:t>В рамках совершенствования организации и методики преподавания химии на основе выявленных типичных затруднений и ошибок рекомендуем:</w:t>
      </w:r>
    </w:p>
    <w:p w:rsidR="004D4369" w:rsidRPr="004D4369" w:rsidRDefault="004D4369" w:rsidP="004D4369">
      <w:pPr>
        <w:spacing w:line="360" w:lineRule="auto"/>
        <w:jc w:val="both"/>
        <w:rPr>
          <w:rFonts w:eastAsia="Times New Roman"/>
          <w:b/>
          <w:bCs/>
        </w:rPr>
      </w:pPr>
      <w:r w:rsidRPr="004D4369">
        <w:rPr>
          <w:rFonts w:eastAsia="Times New Roman"/>
          <w:b/>
          <w:bCs/>
        </w:rPr>
        <w:t>Ресурсному центру, территориальному учебно-методическому объединению:</w:t>
      </w:r>
    </w:p>
    <w:p w:rsidR="004D4369" w:rsidRPr="004D4369" w:rsidRDefault="004D4369" w:rsidP="004D4369">
      <w:pPr>
        <w:numPr>
          <w:ilvl w:val="0"/>
          <w:numId w:val="40"/>
        </w:numPr>
        <w:tabs>
          <w:tab w:val="left" w:pos="993"/>
        </w:tabs>
        <w:spacing w:line="360" w:lineRule="auto"/>
        <w:ind w:left="0" w:firstLine="709"/>
        <w:contextualSpacing/>
        <w:jc w:val="both"/>
        <w:rPr>
          <w:rFonts w:eastAsia="Times New Roman"/>
          <w:lang w:eastAsia="en-US"/>
        </w:rPr>
      </w:pPr>
      <w:r w:rsidRPr="004D4369">
        <w:rPr>
          <w:rFonts w:eastAsia="Times New Roman"/>
          <w:lang w:eastAsia="en-US"/>
        </w:rPr>
        <w:t xml:space="preserve">Провести анализ результатов ГИА по химии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4D4369">
        <w:rPr>
          <w:rFonts w:eastAsia="Times New Roman"/>
          <w:bCs/>
        </w:rPr>
        <w:t>и, преодолевших с запасом в 1-2 балла границу, соответствующую высокому уровню подготовки</w:t>
      </w:r>
      <w:proofErr w:type="gramStart"/>
      <w:r w:rsidRPr="004D4369">
        <w:rPr>
          <w:rFonts w:eastAsia="Times New Roman"/>
          <w:bCs/>
        </w:rPr>
        <w:t>.</w:t>
      </w:r>
      <w:r w:rsidRPr="004D4369">
        <w:rPr>
          <w:rFonts w:eastAsia="Times New Roman"/>
          <w:lang w:eastAsia="en-US"/>
        </w:rPr>
        <w:t>.</w:t>
      </w:r>
      <w:proofErr w:type="gramEnd"/>
    </w:p>
    <w:p w:rsidR="004D4369" w:rsidRPr="004D4369" w:rsidRDefault="004D4369" w:rsidP="004D4369">
      <w:pPr>
        <w:numPr>
          <w:ilvl w:val="0"/>
          <w:numId w:val="40"/>
        </w:numPr>
        <w:tabs>
          <w:tab w:val="left" w:pos="993"/>
        </w:tabs>
        <w:spacing w:line="360" w:lineRule="auto"/>
        <w:ind w:left="0" w:firstLine="708"/>
        <w:contextualSpacing/>
        <w:jc w:val="both"/>
        <w:rPr>
          <w:rFonts w:eastAsia="Times New Roman"/>
          <w:lang w:eastAsia="en-US"/>
        </w:rPr>
      </w:pPr>
      <w:r w:rsidRPr="004D4369">
        <w:rPr>
          <w:rFonts w:eastAsia="Times New Roman"/>
          <w:lang w:eastAsia="en-US"/>
        </w:rPr>
        <w:t xml:space="preserve">Обеспечить коррекцию рабочих программ и </w:t>
      </w:r>
      <w:proofErr w:type="gramStart"/>
      <w:r w:rsidRPr="004D4369">
        <w:rPr>
          <w:rFonts w:eastAsia="Times New Roman"/>
          <w:lang w:eastAsia="en-US"/>
        </w:rPr>
        <w:t>методических подходов</w:t>
      </w:r>
      <w:proofErr w:type="gramEnd"/>
      <w:r w:rsidRPr="004D4369">
        <w:rPr>
          <w:rFonts w:eastAsia="Times New Roman"/>
          <w:lang w:eastAsia="en-US"/>
        </w:rPr>
        <w:t xml:space="preserve"> к преподаванию предмета для повышения показателей качества подготовки выпускников.</w:t>
      </w:r>
    </w:p>
    <w:p w:rsidR="004D4369" w:rsidRPr="004D4369" w:rsidRDefault="004D4369" w:rsidP="004D4369">
      <w:pPr>
        <w:numPr>
          <w:ilvl w:val="0"/>
          <w:numId w:val="40"/>
        </w:numPr>
        <w:tabs>
          <w:tab w:val="left" w:pos="993"/>
        </w:tabs>
        <w:spacing w:line="360" w:lineRule="auto"/>
        <w:ind w:left="0" w:firstLine="708"/>
        <w:contextualSpacing/>
        <w:jc w:val="both"/>
        <w:rPr>
          <w:rFonts w:eastAsia="Times New Roman"/>
          <w:lang w:eastAsia="en-US"/>
        </w:rPr>
      </w:pPr>
      <w:r w:rsidRPr="004D4369">
        <w:rPr>
          <w:rFonts w:eastAsia="Times New Roman"/>
          <w:lang w:eastAsia="en-US"/>
        </w:rPr>
        <w:t>На основе типологии пробелов в знаниях учащихся скорректировать содержание методической работы с учителями химии.</w:t>
      </w:r>
    </w:p>
    <w:p w:rsidR="004D4369" w:rsidRPr="004D4369" w:rsidRDefault="004D4369" w:rsidP="004D4369">
      <w:pPr>
        <w:numPr>
          <w:ilvl w:val="0"/>
          <w:numId w:val="40"/>
        </w:numPr>
        <w:tabs>
          <w:tab w:val="left" w:pos="993"/>
        </w:tabs>
        <w:spacing w:line="360" w:lineRule="auto"/>
        <w:ind w:left="0" w:firstLine="708"/>
        <w:contextualSpacing/>
        <w:jc w:val="both"/>
        <w:rPr>
          <w:rFonts w:eastAsia="Times New Roman"/>
          <w:lang w:eastAsia="en-US"/>
        </w:rPr>
      </w:pPr>
      <w:r w:rsidRPr="004D4369">
        <w:rPr>
          <w:rFonts w:eastAsia="Times New Roman"/>
          <w:lang w:eastAsia="en-US"/>
        </w:rPr>
        <w:t>Организовать наставничество на базе организаций, продемонстрировавших высокие результаты ГИА, учителям-предметникам, чьи выпускники показали низкие результаты.</w:t>
      </w:r>
    </w:p>
    <w:p w:rsidR="004D4369" w:rsidRPr="004D4369" w:rsidRDefault="004D4369" w:rsidP="004D4369">
      <w:pPr>
        <w:numPr>
          <w:ilvl w:val="0"/>
          <w:numId w:val="40"/>
        </w:numPr>
        <w:tabs>
          <w:tab w:val="left" w:pos="993"/>
        </w:tabs>
        <w:spacing w:line="360" w:lineRule="auto"/>
        <w:ind w:left="0" w:firstLine="708"/>
        <w:contextualSpacing/>
        <w:jc w:val="both"/>
        <w:rPr>
          <w:rFonts w:eastAsia="Times New Roman"/>
          <w:lang w:eastAsia="en-US"/>
        </w:rPr>
      </w:pPr>
      <w:r w:rsidRPr="004D4369">
        <w:rPr>
          <w:rFonts w:eastAsia="Times New Roman"/>
          <w:lang w:eastAsia="en-US"/>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кафедр СГСПУ, СГТУ и НИУ им Королева С.</w:t>
      </w:r>
    </w:p>
    <w:p w:rsidR="004D4369" w:rsidRPr="004D4369" w:rsidRDefault="004D4369" w:rsidP="004D4369">
      <w:pPr>
        <w:spacing w:line="360" w:lineRule="auto"/>
        <w:jc w:val="both"/>
        <w:rPr>
          <w:rFonts w:eastAsia="Times New Roman"/>
          <w:b/>
          <w:bCs/>
        </w:rPr>
      </w:pPr>
      <w:r w:rsidRPr="004D4369">
        <w:rPr>
          <w:rFonts w:eastAsia="Times New Roman"/>
          <w:b/>
          <w:bCs/>
        </w:rPr>
        <w:lastRenderedPageBreak/>
        <w:t>О</w:t>
      </w:r>
      <w:r w:rsidR="00F11973">
        <w:rPr>
          <w:rFonts w:eastAsia="Times New Roman"/>
          <w:b/>
          <w:bCs/>
        </w:rPr>
        <w:t>бразовательным организациям</w:t>
      </w:r>
      <w:r w:rsidRPr="004D4369">
        <w:rPr>
          <w:rFonts w:eastAsia="Times New Roman"/>
          <w:b/>
          <w:bCs/>
        </w:rPr>
        <w:t>:</w:t>
      </w:r>
    </w:p>
    <w:p w:rsidR="004D4369" w:rsidRPr="004D4369" w:rsidRDefault="004D4369" w:rsidP="004D4369">
      <w:pPr>
        <w:pStyle w:val="a3"/>
        <w:numPr>
          <w:ilvl w:val="0"/>
          <w:numId w:val="41"/>
        </w:numPr>
        <w:spacing w:after="0" w:line="360" w:lineRule="auto"/>
        <w:ind w:left="0" w:firstLine="709"/>
        <w:jc w:val="both"/>
        <w:rPr>
          <w:rFonts w:ascii="Times New Roman" w:hAnsi="Times New Roman"/>
          <w:sz w:val="24"/>
          <w:szCs w:val="24"/>
        </w:rPr>
      </w:pPr>
      <w:r w:rsidRPr="004D4369">
        <w:rPr>
          <w:rFonts w:ascii="Times New Roman" w:hAnsi="Times New Roman"/>
          <w:sz w:val="24"/>
          <w:szCs w:val="24"/>
        </w:rPr>
        <w:t xml:space="preserve">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4D4369">
        <w:rPr>
          <w:rFonts w:ascii="Times New Roman" w:hAnsi="Times New Roman"/>
          <w:bCs/>
          <w:sz w:val="24"/>
          <w:szCs w:val="24"/>
        </w:rPr>
        <w:t>и, преодолевших с запасом в 1-2 балла границу, соответствующую высокому уровню подготовки.</w:t>
      </w:r>
    </w:p>
    <w:p w:rsidR="004D4369" w:rsidRPr="004D4369" w:rsidRDefault="004D4369" w:rsidP="004D4369">
      <w:pPr>
        <w:pStyle w:val="a3"/>
        <w:numPr>
          <w:ilvl w:val="0"/>
          <w:numId w:val="41"/>
        </w:numPr>
        <w:spacing w:after="0" w:line="360" w:lineRule="auto"/>
        <w:ind w:left="0" w:firstLine="709"/>
        <w:jc w:val="both"/>
        <w:rPr>
          <w:rFonts w:ascii="Times New Roman" w:hAnsi="Times New Roman"/>
          <w:sz w:val="24"/>
          <w:szCs w:val="24"/>
        </w:rPr>
      </w:pPr>
      <w:r w:rsidRPr="004D4369">
        <w:rPr>
          <w:rFonts w:ascii="Times New Roman" w:hAnsi="Times New Roman"/>
          <w:sz w:val="24"/>
          <w:szCs w:val="24"/>
        </w:rPr>
        <w:t xml:space="preserve">Обеспечить коррекцию рабочих программ и </w:t>
      </w:r>
      <w:proofErr w:type="gramStart"/>
      <w:r w:rsidRPr="004D4369">
        <w:rPr>
          <w:rFonts w:ascii="Times New Roman" w:hAnsi="Times New Roman"/>
          <w:sz w:val="24"/>
          <w:szCs w:val="24"/>
        </w:rPr>
        <w:t>методических подходов</w:t>
      </w:r>
      <w:proofErr w:type="gramEnd"/>
      <w:r w:rsidRPr="004D4369">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4D4369" w:rsidRPr="004D4369" w:rsidRDefault="004D4369" w:rsidP="004D4369">
      <w:pPr>
        <w:numPr>
          <w:ilvl w:val="0"/>
          <w:numId w:val="41"/>
        </w:numPr>
        <w:spacing w:line="360" w:lineRule="auto"/>
        <w:ind w:left="0" w:firstLine="709"/>
        <w:contextualSpacing/>
        <w:jc w:val="both"/>
        <w:rPr>
          <w:lang w:eastAsia="en-US"/>
        </w:rPr>
      </w:pPr>
      <w:r w:rsidRPr="004D4369">
        <w:rPr>
          <w:lang w:eastAsia="en-US"/>
        </w:rPr>
        <w:t xml:space="preserve">Осуществить целенаправленное внедрение педагогических технологий и методик, таких как технология развития критического мышления, технология смыслового чтения, методика «кластер», </w:t>
      </w:r>
      <w:proofErr w:type="spellStart"/>
      <w:r w:rsidRPr="004D4369">
        <w:rPr>
          <w:lang w:eastAsia="en-US"/>
        </w:rPr>
        <w:t>синквейн-технология</w:t>
      </w:r>
      <w:proofErr w:type="spellEnd"/>
      <w:r w:rsidRPr="004D4369">
        <w:rPr>
          <w:lang w:eastAsia="en-US"/>
        </w:rPr>
        <w:t xml:space="preserve"> и др.</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Скорректировать учебный план и календарно-тематическое планирование ОО с учетом результатов ГИА 2023.</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Использовать задания из открытого банка ФГБНУ «ФИПИ», направленные на поиск решения в новой ситуации с опорой на имеющиеся знания.</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Ознакомить обучающихся с различными формами представления заданий базового и повышенного уровня сложности, используя открытый банк заданий ФГБНУ «ФИПИ».</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Информировать родительскую общественность о результатах и проблемных аспектах сдачи ГИА.</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Организовать повышение квалификации учителей в соответствии с выявленными профессиональными дефицитами.</w:t>
      </w:r>
    </w:p>
    <w:p w:rsidR="004D4369" w:rsidRPr="004D4369" w:rsidRDefault="004D4369" w:rsidP="004D4369">
      <w:pPr>
        <w:numPr>
          <w:ilvl w:val="0"/>
          <w:numId w:val="41"/>
        </w:numPr>
        <w:spacing w:line="360" w:lineRule="auto"/>
        <w:ind w:left="0" w:firstLine="709"/>
        <w:contextualSpacing/>
        <w:jc w:val="both"/>
        <w:rPr>
          <w:rFonts w:eastAsia="Times New Roman"/>
        </w:rPr>
      </w:pPr>
      <w:r w:rsidRPr="004D4369">
        <w:rPr>
          <w:rFonts w:eastAsia="Times New Roman"/>
        </w:rPr>
        <w:t>Разработать индивидуальные образовательные маршруты обучающихся по учебному предмету с целью формирования предметных и метапредметных результатов.</w:t>
      </w:r>
    </w:p>
    <w:p w:rsidR="004D4369" w:rsidRPr="004D4369" w:rsidRDefault="004D4369" w:rsidP="004D4369">
      <w:pPr>
        <w:numPr>
          <w:ilvl w:val="0"/>
          <w:numId w:val="41"/>
        </w:numPr>
        <w:tabs>
          <w:tab w:val="left" w:pos="993"/>
        </w:tabs>
        <w:spacing w:line="360" w:lineRule="auto"/>
        <w:ind w:left="0" w:firstLine="709"/>
        <w:contextualSpacing/>
        <w:jc w:val="both"/>
        <w:rPr>
          <w:lang w:eastAsia="en-US"/>
        </w:rPr>
      </w:pPr>
      <w:r w:rsidRPr="004D4369">
        <w:rPr>
          <w:lang w:eastAsia="en-US"/>
        </w:rPr>
        <w:t xml:space="preserve">Организовать </w:t>
      </w:r>
      <w:proofErr w:type="spellStart"/>
      <w:r w:rsidRPr="004D4369">
        <w:rPr>
          <w:lang w:eastAsia="en-US"/>
        </w:rPr>
        <w:t>внутришкольную</w:t>
      </w:r>
      <w:proofErr w:type="spellEnd"/>
      <w:r w:rsidRPr="004D4369">
        <w:rPr>
          <w:lang w:eastAsia="en-US"/>
        </w:rPr>
        <w:t xml:space="preserve"> систему повышения квалификации педагогов в формате наставничества, </w:t>
      </w:r>
      <w:proofErr w:type="spellStart"/>
      <w:r w:rsidRPr="004D4369">
        <w:rPr>
          <w:lang w:eastAsia="en-US"/>
        </w:rPr>
        <w:t>тьюторства</w:t>
      </w:r>
      <w:proofErr w:type="spellEnd"/>
      <w:r w:rsidRPr="004D4369">
        <w:rPr>
          <w:lang w:eastAsia="en-US"/>
        </w:rPr>
        <w:t xml:space="preserve"> (или в рамках сетевого взаимодействия);</w:t>
      </w:r>
    </w:p>
    <w:p w:rsidR="004D4369" w:rsidRPr="004D4369" w:rsidRDefault="004D4369" w:rsidP="004D4369">
      <w:pPr>
        <w:numPr>
          <w:ilvl w:val="0"/>
          <w:numId w:val="41"/>
        </w:numPr>
        <w:tabs>
          <w:tab w:val="left" w:pos="993"/>
        </w:tabs>
        <w:spacing w:line="360" w:lineRule="auto"/>
        <w:ind w:left="0" w:firstLine="709"/>
        <w:contextualSpacing/>
        <w:jc w:val="both"/>
        <w:rPr>
          <w:lang w:eastAsia="en-US"/>
        </w:rPr>
      </w:pPr>
      <w:r w:rsidRPr="004D4369">
        <w:rPr>
          <w:rFonts w:eastAsia="Times New Roman"/>
          <w:lang w:eastAsia="en-US"/>
        </w:rPr>
        <w:t>Использовать в работе рекомендации информационно-методического письма «О преподавании химии в общеобразовательных организациях Самарской области в 2023-2024 учебном году».</w:t>
      </w:r>
    </w:p>
    <w:p w:rsidR="00643A8E" w:rsidRDefault="00643A8E" w:rsidP="00903AC5">
      <w:pPr>
        <w:ind w:firstLine="539"/>
        <w:jc w:val="both"/>
      </w:pPr>
    </w:p>
    <w:p w:rsidR="004D4369" w:rsidRPr="003602B9" w:rsidRDefault="004D4369" w:rsidP="004D436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rsidR="003B63D9" w:rsidRDefault="003B63D9" w:rsidP="003602B9">
      <w:pPr>
        <w:pStyle w:val="a3"/>
        <w:spacing w:after="0" w:line="240" w:lineRule="auto"/>
        <w:ind w:left="0"/>
        <w:jc w:val="both"/>
        <w:rPr>
          <w:rFonts w:ascii="Times New Roman" w:eastAsia="Times New Roman" w:hAnsi="Times New Roman"/>
          <w:b/>
          <w:sz w:val="24"/>
          <w:szCs w:val="24"/>
          <w:lang w:eastAsia="ru-RU"/>
        </w:rPr>
      </w:pPr>
    </w:p>
    <w:p w:rsidR="004D4369" w:rsidRPr="004D4369" w:rsidRDefault="004D4369" w:rsidP="004D4369">
      <w:pPr>
        <w:pBdr>
          <w:top w:val="none" w:sz="4" w:space="0" w:color="000000"/>
          <w:left w:val="none" w:sz="4" w:space="0" w:color="000000"/>
          <w:bottom w:val="none" w:sz="4" w:space="0" w:color="000000"/>
          <w:right w:val="none" w:sz="4" w:space="0" w:color="000000"/>
        </w:pBdr>
        <w:shd w:val="clear" w:color="auto" w:fill="FFFFFF"/>
        <w:spacing w:line="360" w:lineRule="auto"/>
        <w:ind w:firstLine="709"/>
        <w:jc w:val="both"/>
        <w:rPr>
          <w:rFonts w:eastAsia="Carlito"/>
          <w:color w:val="000000"/>
        </w:rPr>
      </w:pPr>
      <w:r w:rsidRPr="004D4369">
        <w:rPr>
          <w:rFonts w:eastAsia="Carlito"/>
          <w:color w:val="000000"/>
        </w:rPr>
        <w:t xml:space="preserve">На уроках химии можно организовать дифференцированное обучение школьников с разным уровнем предметной подготовки. Процесс дифференциации необходимо организовать при групповой форме обучения, которая обеспечивает учет индивидуальных способностей, организует коллективную познавательную деятельность, обмен способами действия и взаимное обогащение учащихся. Различным по уровню подготовки школьникам необходимо ставить посильные задачи, которые они должны выполнить. На уроках шире использовать дидактический материал из </w:t>
      </w:r>
      <w:proofErr w:type="spellStart"/>
      <w:r w:rsidRPr="004D4369">
        <w:rPr>
          <w:rFonts w:eastAsia="Carlito"/>
          <w:color w:val="000000"/>
        </w:rPr>
        <w:t>КИМов</w:t>
      </w:r>
      <w:proofErr w:type="spellEnd"/>
      <w:r w:rsidRPr="004D4369">
        <w:rPr>
          <w:rFonts w:eastAsia="Carlito"/>
          <w:color w:val="000000"/>
        </w:rPr>
        <w:t xml:space="preserve"> ОГЭ прошлых лет; различные тренировочные тесты; задания с инструктивным материалом для групп разного уровня. В ходе такой работы у учащихся формируются навыки самообразования, самостоятельной работы, самоорганизации и самоконтроля, которые необходимы для того, чтобы ученик был готов к полной самостоятельности при выполнении заданий ОГЭ.</w:t>
      </w:r>
    </w:p>
    <w:p w:rsidR="004D4369" w:rsidRPr="004D4369" w:rsidRDefault="004D4369" w:rsidP="004D4369">
      <w:pPr>
        <w:pBdr>
          <w:top w:val="none" w:sz="4" w:space="0" w:color="000000"/>
          <w:left w:val="none" w:sz="4" w:space="0" w:color="000000"/>
          <w:bottom w:val="none" w:sz="4" w:space="0" w:color="000000"/>
          <w:right w:val="none" w:sz="4" w:space="0" w:color="000000"/>
        </w:pBdr>
        <w:shd w:val="clear" w:color="auto" w:fill="FFFFFF"/>
        <w:spacing w:line="360" w:lineRule="auto"/>
        <w:ind w:firstLine="709"/>
        <w:jc w:val="both"/>
        <w:rPr>
          <w:rFonts w:eastAsia="Carlito"/>
          <w:color w:val="000000"/>
        </w:rPr>
      </w:pPr>
      <w:r w:rsidRPr="004D4369">
        <w:rPr>
          <w:rFonts w:eastAsia="Carlito"/>
          <w:color w:val="000000"/>
        </w:rPr>
        <w:t xml:space="preserve">Например, для работы можно использовать </w:t>
      </w:r>
      <w:proofErr w:type="gramStart"/>
      <w:r w:rsidRPr="004D4369">
        <w:rPr>
          <w:rFonts w:eastAsia="Carlito"/>
          <w:color w:val="000000"/>
        </w:rPr>
        <w:t>дифференцированных</w:t>
      </w:r>
      <w:proofErr w:type="gramEnd"/>
      <w:r w:rsidRPr="004D4369">
        <w:rPr>
          <w:rFonts w:eastAsia="Carlito"/>
          <w:color w:val="000000"/>
        </w:rPr>
        <w:t xml:space="preserve"> подход при изучении содержания предмета. Например, выделить три уровня дифференциации содержания при изучении материала («А», «В», «С»). По каждой теме должен быть представлен обязательный минимум (уровень «С»), который позволяет обеспечить неразрывную логику изложения и создать цельную картину основных представлений. Задания уровня «С» зафиксированы как базовый стандарт – минимальный, или репродуктивный. Здесь особенностью обучения является многократность повторения, умение выделять смысловые группы. Вводится инструктаж о том, как учить, на что обратить внимание и. т.д. Задание уровня «С» должен уметь выполнить каждый, прежде чем приступить к заданиям «В», «А». Программа «В» – аналитико-синтетический уровень, руководствуется приемами умственной деятельности, которые необходимы для решения задач на применение. Здесь, кроме конкретных знаний, вводятся дополнительные сведения, расширяющие материал уровня «С». Уровень «А» – творческий уровень, выводящий учащихся на уровень осознанного, творческого применения знаний, предусмотрены развивающие сведения, углубляющие материал, требующие логического обоснования. Этот уровень позволяет учащимся проявлять способность к дополнительной самостоятельной работе.</w:t>
      </w:r>
    </w:p>
    <w:p w:rsidR="004D4369" w:rsidRDefault="004D4369" w:rsidP="004D4369">
      <w:pPr>
        <w:pBdr>
          <w:top w:val="none" w:sz="4" w:space="0" w:color="000000"/>
          <w:left w:val="none" w:sz="4" w:space="0" w:color="000000"/>
          <w:bottom w:val="none" w:sz="4" w:space="0" w:color="000000"/>
          <w:right w:val="none" w:sz="4" w:space="0" w:color="000000"/>
        </w:pBdr>
        <w:shd w:val="clear" w:color="auto" w:fill="FFFFFF"/>
        <w:spacing w:line="360" w:lineRule="auto"/>
        <w:ind w:firstLine="709"/>
        <w:jc w:val="both"/>
        <w:rPr>
          <w:rFonts w:eastAsia="Carlito"/>
          <w:color w:val="000000"/>
        </w:rPr>
      </w:pPr>
      <w:proofErr w:type="gramStart"/>
      <w:r w:rsidRPr="004D4369">
        <w:rPr>
          <w:rFonts w:eastAsia="Carlito"/>
          <w:color w:val="000000"/>
        </w:rPr>
        <w:t xml:space="preserve">С обучающимися с низким уровнем предметной подготовки следует усилить работу по заданиям базового уровня: уравнения реакции и вычисления по величинам, расчёт массы вещества или объёма газов по известному количеству вещества, массе или объёму одно из участвующих в реакции веществ, расчёты массовой или объёмной доли </w:t>
      </w:r>
      <w:r w:rsidRPr="004D4369">
        <w:rPr>
          <w:rFonts w:eastAsia="Carlito"/>
          <w:color w:val="000000"/>
        </w:rPr>
        <w:lastRenderedPageBreak/>
        <w:t>выхода продукта реакции от теоретически возможного, а также расчёты массовой доли (массы) химического соединения в смеси</w:t>
      </w:r>
      <w:proofErr w:type="gramEnd"/>
      <w:r w:rsidRPr="004D4369">
        <w:rPr>
          <w:rFonts w:eastAsia="Carlito"/>
          <w:color w:val="000000"/>
        </w:rPr>
        <w:t xml:space="preserve">. Необходимо совершенствовать вычислительные умения у учащихся, необходимые для решения задач. </w:t>
      </w:r>
      <w:proofErr w:type="gramStart"/>
      <w:r w:rsidRPr="004D4369">
        <w:rPr>
          <w:rFonts w:eastAsia="Carlito"/>
          <w:color w:val="000000"/>
        </w:rPr>
        <w:t>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roofErr w:type="gramEnd"/>
      <w:r w:rsidRPr="004D4369">
        <w:rPr>
          <w:rFonts w:eastAsia="Carlito"/>
          <w:color w:val="000000"/>
        </w:rPr>
        <w:t xml:space="preserve">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w:t>
      </w:r>
    </w:p>
    <w:p w:rsidR="00F11973" w:rsidRPr="00F11973" w:rsidRDefault="00F11973" w:rsidP="00F11973">
      <w:pPr>
        <w:spacing w:line="360" w:lineRule="auto"/>
        <w:jc w:val="both"/>
        <w:rPr>
          <w:b/>
          <w:bCs/>
        </w:rPr>
      </w:pPr>
      <w:r w:rsidRPr="00F11973">
        <w:rPr>
          <w:b/>
          <w:bCs/>
        </w:rPr>
        <w:t>Адресные рекомендации школам:</w:t>
      </w:r>
    </w:p>
    <w:p w:rsidR="004D4369" w:rsidRPr="004D4369" w:rsidRDefault="004D4369" w:rsidP="004D4369">
      <w:pPr>
        <w:pStyle w:val="a3"/>
        <w:numPr>
          <w:ilvl w:val="0"/>
          <w:numId w:val="43"/>
        </w:numPr>
        <w:pBdr>
          <w:top w:val="nil"/>
          <w:left w:val="nil"/>
          <w:bottom w:val="nil"/>
          <w:right w:val="nil"/>
          <w:between w:val="nil"/>
        </w:pBdr>
        <w:spacing w:after="0" w:line="360" w:lineRule="auto"/>
        <w:ind w:left="0" w:firstLine="0"/>
        <w:rPr>
          <w:rFonts w:ascii="Times New Roman" w:hAnsi="Times New Roman"/>
          <w:color w:val="000000"/>
          <w:sz w:val="24"/>
          <w:szCs w:val="24"/>
        </w:rPr>
      </w:pPr>
      <w:r w:rsidRPr="004D4369">
        <w:rPr>
          <w:rFonts w:ascii="Times New Roman" w:hAnsi="Times New Roman"/>
          <w:color w:val="000000"/>
          <w:sz w:val="24"/>
          <w:szCs w:val="24"/>
        </w:rPr>
        <w:t>Администрации ОО:</w:t>
      </w:r>
    </w:p>
    <w:p w:rsidR="004D4369" w:rsidRPr="004D4369" w:rsidRDefault="004D4369" w:rsidP="004D4369">
      <w:pPr>
        <w:pStyle w:val="a3"/>
        <w:numPr>
          <w:ilvl w:val="0"/>
          <w:numId w:val="42"/>
        </w:numPr>
        <w:shd w:val="clear" w:color="auto" w:fill="FFFFFF"/>
        <w:suppressAutoHyphen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 xml:space="preserve">провести анализ результатов ОГЭ 2023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4D4369">
        <w:rPr>
          <w:rFonts w:ascii="Times New Roman" w:hAnsi="Times New Roman"/>
          <w:sz w:val="24"/>
          <w:szCs w:val="24"/>
        </w:rPr>
        <w:t>и, преодолевших с запасом в 1-2 балла границу, соответствующую высокому уровню подготовки (30 баллов);</w:t>
      </w:r>
    </w:p>
    <w:p w:rsidR="004D4369" w:rsidRPr="004D4369" w:rsidRDefault="004D4369" w:rsidP="004D4369">
      <w:pPr>
        <w:pStyle w:val="a3"/>
        <w:numPr>
          <w:ilvl w:val="0"/>
          <w:numId w:val="42"/>
        </w:numPr>
        <w:shd w:val="clear" w:color="auto" w:fill="FFFFFF"/>
        <w:suppressAutoHyphen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 xml:space="preserve">обеспечить коррекцию рабочих программ и </w:t>
      </w:r>
      <w:proofErr w:type="gramStart"/>
      <w:r w:rsidRPr="004D4369">
        <w:rPr>
          <w:rFonts w:ascii="Times New Roman" w:hAnsi="Times New Roman"/>
          <w:bCs/>
          <w:color w:val="222222"/>
          <w:sz w:val="24"/>
          <w:szCs w:val="24"/>
        </w:rPr>
        <w:t>методических подходов</w:t>
      </w:r>
      <w:proofErr w:type="gramEnd"/>
      <w:r w:rsidRPr="004D4369">
        <w:rPr>
          <w:rFonts w:ascii="Times New Roman" w:hAnsi="Times New Roman"/>
          <w:bCs/>
          <w:color w:val="222222"/>
          <w:sz w:val="24"/>
          <w:szCs w:val="24"/>
        </w:rPr>
        <w:t xml:space="preserve"> к преподаванию предмета для повышения показателей качества подготовки выпускников;</w:t>
      </w:r>
    </w:p>
    <w:p w:rsidR="004D4369" w:rsidRPr="004D4369" w:rsidRDefault="004D4369" w:rsidP="004D4369">
      <w:pPr>
        <w:pStyle w:val="a3"/>
        <w:numPr>
          <w:ilvl w:val="0"/>
          <w:numId w:val="42"/>
        </w:numPr>
        <w:shd w:val="clear" w:color="auto" w:fill="FFFFFF"/>
        <w:suppressAutoHyphen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 xml:space="preserve">провести анализ внутренних и внешних причин низких образовательных результатов в образовательных организациях (при наличии); </w:t>
      </w:r>
    </w:p>
    <w:p w:rsidR="004D4369" w:rsidRPr="004D4369" w:rsidRDefault="004D4369" w:rsidP="004D4369">
      <w:pPr>
        <w:pStyle w:val="a3"/>
        <w:numPr>
          <w:ilvl w:val="0"/>
          <w:numId w:val="42"/>
        </w:numPr>
        <w:shd w:val="clear" w:color="auto" w:fill="FFFFFF"/>
        <w:tabs>
          <w:tab w:val="left" w:pos="709"/>
        </w:tab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скорректировать учебный план ОО с учетом результатов ГИА;</w:t>
      </w:r>
    </w:p>
    <w:p w:rsidR="004D4369" w:rsidRPr="004D4369" w:rsidRDefault="004D4369" w:rsidP="004D4369">
      <w:pPr>
        <w:pStyle w:val="a3"/>
        <w:numPr>
          <w:ilvl w:val="0"/>
          <w:numId w:val="42"/>
        </w:numPr>
        <w:shd w:val="clear" w:color="auto" w:fill="FFFFFF"/>
        <w:tabs>
          <w:tab w:val="left" w:pos="709"/>
        </w:tab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 xml:space="preserve">скорректировать календарно-тематическое планирование по химии на 2023-2024 учебный год с учетом результатов ГИА; </w:t>
      </w:r>
    </w:p>
    <w:p w:rsidR="004D4369" w:rsidRPr="004D4369" w:rsidRDefault="004D4369" w:rsidP="004D4369">
      <w:pPr>
        <w:pStyle w:val="a3"/>
        <w:numPr>
          <w:ilvl w:val="0"/>
          <w:numId w:val="42"/>
        </w:numPr>
        <w:shd w:val="clear" w:color="auto" w:fill="FFFFFF"/>
        <w:suppressAutoHyphen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организовать повышение квалификации учителей в соответствии с выявленными профессиональными дефицитами;</w:t>
      </w:r>
    </w:p>
    <w:p w:rsidR="004D4369" w:rsidRPr="004D4369" w:rsidRDefault="004D4369" w:rsidP="004D4369">
      <w:pPr>
        <w:pStyle w:val="a3"/>
        <w:numPr>
          <w:ilvl w:val="0"/>
          <w:numId w:val="42"/>
        </w:numPr>
        <w:shd w:val="clear" w:color="auto" w:fill="FFFFFF"/>
        <w:tabs>
          <w:tab w:val="left" w:pos="709"/>
        </w:tab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 xml:space="preserve">организовать </w:t>
      </w:r>
      <w:proofErr w:type="spellStart"/>
      <w:r w:rsidRPr="004D4369">
        <w:rPr>
          <w:rFonts w:ascii="Times New Roman" w:hAnsi="Times New Roman"/>
          <w:bCs/>
          <w:color w:val="222222"/>
          <w:sz w:val="24"/>
          <w:szCs w:val="24"/>
        </w:rPr>
        <w:t>внутришкольную</w:t>
      </w:r>
      <w:proofErr w:type="spellEnd"/>
      <w:r w:rsidRPr="004D4369">
        <w:rPr>
          <w:rFonts w:ascii="Times New Roman" w:hAnsi="Times New Roman"/>
          <w:bCs/>
          <w:color w:val="222222"/>
          <w:sz w:val="24"/>
          <w:szCs w:val="24"/>
        </w:rPr>
        <w:t xml:space="preserve"> систему повышения квалификации педагогов в формате </w:t>
      </w:r>
      <w:proofErr w:type="spellStart"/>
      <w:r w:rsidRPr="004D4369">
        <w:rPr>
          <w:rFonts w:ascii="Times New Roman" w:hAnsi="Times New Roman"/>
          <w:bCs/>
          <w:color w:val="222222"/>
          <w:sz w:val="24"/>
          <w:szCs w:val="24"/>
        </w:rPr>
        <w:t>тьюторства</w:t>
      </w:r>
      <w:proofErr w:type="spellEnd"/>
      <w:r w:rsidRPr="004D4369">
        <w:rPr>
          <w:rFonts w:ascii="Times New Roman" w:hAnsi="Times New Roman"/>
          <w:bCs/>
          <w:color w:val="222222"/>
          <w:sz w:val="24"/>
          <w:szCs w:val="24"/>
        </w:rPr>
        <w:t xml:space="preserve"> и наставничества (или в рамках сетевого взаимодействия);</w:t>
      </w:r>
    </w:p>
    <w:p w:rsidR="004D4369" w:rsidRPr="004D4369" w:rsidRDefault="004D4369" w:rsidP="004D4369">
      <w:pPr>
        <w:pStyle w:val="a3"/>
        <w:numPr>
          <w:ilvl w:val="0"/>
          <w:numId w:val="42"/>
        </w:numPr>
        <w:shd w:val="clear" w:color="auto" w:fill="FFFFFF"/>
        <w:tabs>
          <w:tab w:val="left" w:pos="709"/>
        </w:tab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информировать родительскую общественность о результатах и проблемных аспектах сдачи ОГЭ;</w:t>
      </w:r>
    </w:p>
    <w:p w:rsidR="004D4369" w:rsidRPr="004D4369" w:rsidRDefault="004D4369" w:rsidP="004D4369">
      <w:pPr>
        <w:pStyle w:val="a3"/>
        <w:numPr>
          <w:ilvl w:val="0"/>
          <w:numId w:val="42"/>
        </w:numPr>
        <w:shd w:val="clear" w:color="auto" w:fill="FFFFFF"/>
        <w:suppressAutoHyphen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использовать в работе информационно-методическое письмо «О преподавании химии в общеобразовательных организациях Самарской области в 2023-2024 учебном году», разработанное ГАУ ДПО СО ИРО;</w:t>
      </w:r>
    </w:p>
    <w:p w:rsidR="004D4369" w:rsidRPr="004D4369" w:rsidRDefault="004D4369" w:rsidP="004D4369">
      <w:pPr>
        <w:pStyle w:val="a3"/>
        <w:numPr>
          <w:ilvl w:val="0"/>
          <w:numId w:val="42"/>
        </w:numPr>
        <w:shd w:val="clear" w:color="auto" w:fill="FFFFFF"/>
        <w:suppressAutoHyphens/>
        <w:spacing w:after="0" w:line="360" w:lineRule="auto"/>
        <w:ind w:left="0" w:firstLine="0"/>
        <w:jc w:val="both"/>
        <w:rPr>
          <w:rFonts w:ascii="Times New Roman" w:hAnsi="Times New Roman"/>
          <w:bCs/>
          <w:color w:val="222222"/>
          <w:sz w:val="24"/>
          <w:szCs w:val="24"/>
        </w:rPr>
      </w:pPr>
      <w:r w:rsidRPr="004D4369">
        <w:rPr>
          <w:rFonts w:ascii="Times New Roman" w:hAnsi="Times New Roman"/>
          <w:bCs/>
          <w:color w:val="222222"/>
          <w:sz w:val="24"/>
          <w:szCs w:val="24"/>
        </w:rPr>
        <w:t>проводить внутренний мониторинг уровня подготовки по предмету для обучающихся, планирующих сдачу ОГЭ по химии учащихся 9 класса;</w:t>
      </w:r>
    </w:p>
    <w:p w:rsidR="004D4369" w:rsidRPr="004D4369" w:rsidRDefault="004D4369" w:rsidP="004D4369">
      <w:pPr>
        <w:pStyle w:val="Default"/>
        <w:numPr>
          <w:ilvl w:val="0"/>
          <w:numId w:val="43"/>
        </w:numPr>
        <w:suppressAutoHyphens w:val="0"/>
        <w:autoSpaceDN w:val="0"/>
        <w:adjustRightInd w:val="0"/>
        <w:spacing w:line="360" w:lineRule="auto"/>
        <w:ind w:left="0" w:firstLine="0"/>
        <w:jc w:val="both"/>
      </w:pPr>
      <w:r w:rsidRPr="004D4369">
        <w:lastRenderedPageBreak/>
        <w:t xml:space="preserve">Учителям химии всех общеобразовательных организаций: уделять большое внимание решению экспериментальных задач по неорганической химии. Отрабатывать метод электронного баланса для расстановки коэффициентов в ОВР (номер 20). Прививать навык решения задач по химии с помощью законов математики, системы уравнений, решать задачи на смеси, примеси и выход продуктов. Развивать интерес к изучению предмета через </w:t>
      </w:r>
      <w:proofErr w:type="spellStart"/>
      <w:r w:rsidRPr="004D4369">
        <w:t>метапредметные</w:t>
      </w:r>
      <w:proofErr w:type="spellEnd"/>
      <w:r w:rsidRPr="004D4369">
        <w:t xml:space="preserve"> связи, использовать наглядные пособия, электронно-образовательные ресурсы, демонстрационный эксперимент и информационные технологии для подготовки к ГИА.</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164EBB" w:rsidRDefault="00164EBB" w:rsidP="00164EBB">
      <w:pPr>
        <w:spacing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F11973" w:rsidTr="00351B98">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F11973" w:rsidTr="00351B98">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rPr>
                <w:i/>
                <w:iCs/>
              </w:rPr>
            </w:pPr>
            <w:r>
              <w:rPr>
                <w:i/>
                <w:iCs/>
              </w:rPr>
              <w:t>Корнеева Елена 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rPr>
                <w:i/>
                <w:iCs/>
              </w:rPr>
            </w:pPr>
            <w:r>
              <w:rPr>
                <w:i/>
                <w:iCs/>
              </w:rPr>
              <w:t xml:space="preserve">ГБУ ДПО «Новокуйбышевский РЦ», руководитель отдела </w:t>
            </w:r>
            <w:proofErr w:type="spellStart"/>
            <w:r>
              <w:rPr>
                <w:i/>
                <w:iCs/>
              </w:rPr>
              <w:t>ОКОиОС</w:t>
            </w:r>
            <w:proofErr w:type="spellEnd"/>
          </w:p>
        </w:tc>
      </w:tr>
    </w:tbl>
    <w:p w:rsidR="00F11973" w:rsidRDefault="00F11973" w:rsidP="00F11973">
      <w:pPr>
        <w:jc w:val="both"/>
        <w:rPr>
          <w:i/>
          <w:iCs/>
        </w:rPr>
      </w:pPr>
      <w:r>
        <w:rPr>
          <w:i/>
          <w:iCs/>
        </w:rPr>
        <w:t>Специалисты, привлекаемые к анализу результатов ОГЭ по учебному предмету</w:t>
      </w:r>
    </w:p>
    <w:p w:rsidR="00F11973" w:rsidRDefault="00F11973" w:rsidP="00F11973"/>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F11973" w:rsidTr="00351B98">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F11973" w:rsidTr="00351B98">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F11973" w:rsidTr="00351B98">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351B98">
            <w:pPr>
              <w:rPr>
                <w:i/>
                <w:iCs/>
              </w:rPr>
            </w:pPr>
            <w:r>
              <w:rPr>
                <w:i/>
                <w:iCs/>
              </w:rPr>
              <w:t xml:space="preserve">Богомолова Марина </w:t>
            </w:r>
            <w:proofErr w:type="spellStart"/>
            <w:r>
              <w:rPr>
                <w:i/>
                <w:iCs/>
              </w:rPr>
              <w:t>алексеевна</w:t>
            </w:r>
            <w:proofErr w:type="spellEnd"/>
          </w:p>
        </w:tc>
        <w:tc>
          <w:tcPr>
            <w:tcW w:w="6550" w:type="dxa"/>
            <w:tcBorders>
              <w:top w:val="single" w:sz="4" w:space="0" w:color="auto"/>
              <w:left w:val="single" w:sz="4" w:space="0" w:color="auto"/>
              <w:bottom w:val="single" w:sz="4" w:space="0" w:color="auto"/>
              <w:right w:val="single" w:sz="4" w:space="0" w:color="auto"/>
            </w:tcBorders>
            <w:vAlign w:val="center"/>
            <w:hideMark/>
          </w:tcPr>
          <w:p w:rsidR="00F11973" w:rsidRDefault="00F11973" w:rsidP="00F11973">
            <w:pPr>
              <w:jc w:val="both"/>
              <w:rPr>
                <w:i/>
                <w:iCs/>
              </w:rPr>
            </w:pPr>
            <w:r w:rsidRPr="00F11973">
              <w:rPr>
                <w:i/>
                <w:iCs/>
              </w:rPr>
              <w:t>ГБОУ СОШ № 5 «ОЦ»</w:t>
            </w:r>
            <w:r>
              <w:rPr>
                <w:i/>
                <w:iCs/>
              </w:rPr>
              <w:t xml:space="preserve">, </w:t>
            </w:r>
            <w:r w:rsidRPr="00F11973">
              <w:rPr>
                <w:i/>
                <w:iCs/>
              </w:rPr>
              <w:t>учитель химии, эксперт предметной комиссии ГИА</w:t>
            </w:r>
          </w:p>
        </w:tc>
      </w:tr>
    </w:tbl>
    <w:p w:rsidR="00290F80" w:rsidRPr="00903AC5" w:rsidRDefault="00290F80" w:rsidP="0082776F">
      <w:pPr>
        <w:spacing w:line="360" w:lineRule="auto"/>
        <w:rPr>
          <w:sz w:val="6"/>
          <w:szCs w:val="28"/>
        </w:rPr>
      </w:pPr>
    </w:p>
    <w:sectPr w:rsidR="00290F80" w:rsidRPr="00903AC5" w:rsidSect="0082776F">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AB" w:rsidRDefault="00B951AB" w:rsidP="005060D9">
      <w:r>
        <w:separator/>
      </w:r>
    </w:p>
  </w:endnote>
  <w:endnote w:type="continuationSeparator" w:id="0">
    <w:p w:rsidR="00B951AB" w:rsidRDefault="00B951AB"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rlito">
    <w:altName w:val="Calibri"/>
    <w:charset w:val="CC"/>
    <w:family w:val="swiss"/>
    <w:pitch w:val="variable"/>
    <w:sig w:usb0="00000001"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B951AB" w:rsidRDefault="00286802" w:rsidP="002133CF">
        <w:pPr>
          <w:pStyle w:val="aa"/>
          <w:jc w:val="right"/>
        </w:pPr>
        <w:r>
          <w:fldChar w:fldCharType="begin"/>
        </w:r>
        <w:r w:rsidR="006A3151">
          <w:instrText xml:space="preserve"> PAGE   \* MERGEFORMAT </w:instrText>
        </w:r>
        <w:r>
          <w:fldChar w:fldCharType="separate"/>
        </w:r>
        <w:r w:rsidR="007B0276">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AB" w:rsidRDefault="00B951AB" w:rsidP="005060D9">
      <w:r>
        <w:separator/>
      </w:r>
    </w:p>
  </w:footnote>
  <w:footnote w:type="continuationSeparator" w:id="0">
    <w:p w:rsidR="00B951AB" w:rsidRDefault="00B951AB" w:rsidP="005060D9">
      <w:r>
        <w:continuationSeparator/>
      </w:r>
    </w:p>
  </w:footnote>
  <w:footnote w:id="1">
    <w:p w:rsidR="00B951AB" w:rsidRPr="00945BAA" w:rsidRDefault="00B951AB"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B951AB" w:rsidRPr="00903AC5" w:rsidRDefault="00B951AB">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B951AB" w:rsidRPr="007A5716" w:rsidRDefault="00B951AB"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AB" w:rsidRDefault="00B951AB">
    <w:pPr>
      <w:pStyle w:val="ae"/>
      <w:jc w:val="center"/>
    </w:pPr>
  </w:p>
  <w:p w:rsidR="00B951AB" w:rsidRDefault="00B951A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nsid w:val="13525FB9"/>
    <w:multiLevelType w:val="hybridMultilevel"/>
    <w:tmpl w:val="8B10869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1">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4">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F32E59"/>
    <w:multiLevelType w:val="hybridMultilevel"/>
    <w:tmpl w:val="454A92C8"/>
    <w:lvl w:ilvl="0" w:tplc="0346D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4">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6">
    <w:nsid w:val="59960B95"/>
    <w:multiLevelType w:val="hybridMultilevel"/>
    <w:tmpl w:val="E6A26DC8"/>
    <w:lvl w:ilvl="0" w:tplc="24426CBC">
      <w:start w:val="1"/>
      <w:numFmt w:val="bullet"/>
      <w:lvlText w:val="o"/>
      <w:lvlJc w:val="left"/>
      <w:pPr>
        <w:ind w:left="1070" w:hanging="360"/>
      </w:pPr>
      <w:rPr>
        <w:rFonts w:ascii="Courier New" w:hAnsi="Courier New" w:cs="Courier New" w:hint="default"/>
      </w:rPr>
    </w:lvl>
    <w:lvl w:ilvl="1" w:tplc="0B3E972A">
      <w:start w:val="1"/>
      <w:numFmt w:val="bullet"/>
      <w:lvlText w:val="o"/>
      <w:lvlJc w:val="left"/>
      <w:pPr>
        <w:ind w:left="2149" w:hanging="360"/>
      </w:pPr>
      <w:rPr>
        <w:rFonts w:ascii="Courier New" w:hAnsi="Courier New" w:cs="Courier New" w:hint="default"/>
      </w:rPr>
    </w:lvl>
    <w:lvl w:ilvl="2" w:tplc="BD8410CC">
      <w:start w:val="1"/>
      <w:numFmt w:val="bullet"/>
      <w:lvlText w:val=""/>
      <w:lvlJc w:val="left"/>
      <w:pPr>
        <w:ind w:left="2869" w:hanging="360"/>
      </w:pPr>
      <w:rPr>
        <w:rFonts w:ascii="Wingdings" w:hAnsi="Wingdings" w:hint="default"/>
      </w:rPr>
    </w:lvl>
    <w:lvl w:ilvl="3" w:tplc="ABE02F44">
      <w:start w:val="1"/>
      <w:numFmt w:val="bullet"/>
      <w:lvlText w:val=""/>
      <w:lvlJc w:val="left"/>
      <w:pPr>
        <w:ind w:left="3589" w:hanging="360"/>
      </w:pPr>
      <w:rPr>
        <w:rFonts w:ascii="Symbol" w:hAnsi="Symbol" w:hint="default"/>
      </w:rPr>
    </w:lvl>
    <w:lvl w:ilvl="4" w:tplc="BE7AC536">
      <w:start w:val="1"/>
      <w:numFmt w:val="bullet"/>
      <w:lvlText w:val="o"/>
      <w:lvlJc w:val="left"/>
      <w:pPr>
        <w:ind w:left="4309" w:hanging="360"/>
      </w:pPr>
      <w:rPr>
        <w:rFonts w:ascii="Courier New" w:hAnsi="Courier New" w:cs="Courier New" w:hint="default"/>
      </w:rPr>
    </w:lvl>
    <w:lvl w:ilvl="5" w:tplc="5DCCC6E8">
      <w:start w:val="1"/>
      <w:numFmt w:val="bullet"/>
      <w:lvlText w:val=""/>
      <w:lvlJc w:val="left"/>
      <w:pPr>
        <w:ind w:left="5029" w:hanging="360"/>
      </w:pPr>
      <w:rPr>
        <w:rFonts w:ascii="Wingdings" w:hAnsi="Wingdings" w:hint="default"/>
      </w:rPr>
    </w:lvl>
    <w:lvl w:ilvl="6" w:tplc="3DEE2064">
      <w:start w:val="1"/>
      <w:numFmt w:val="bullet"/>
      <w:lvlText w:val=""/>
      <w:lvlJc w:val="left"/>
      <w:pPr>
        <w:ind w:left="5749" w:hanging="360"/>
      </w:pPr>
      <w:rPr>
        <w:rFonts w:ascii="Symbol" w:hAnsi="Symbol" w:hint="default"/>
      </w:rPr>
    </w:lvl>
    <w:lvl w:ilvl="7" w:tplc="1B5ABA7E">
      <w:start w:val="1"/>
      <w:numFmt w:val="bullet"/>
      <w:lvlText w:val="o"/>
      <w:lvlJc w:val="left"/>
      <w:pPr>
        <w:ind w:left="6469" w:hanging="360"/>
      </w:pPr>
      <w:rPr>
        <w:rFonts w:ascii="Courier New" w:hAnsi="Courier New" w:cs="Courier New" w:hint="default"/>
      </w:rPr>
    </w:lvl>
    <w:lvl w:ilvl="8" w:tplc="01E06E22">
      <w:start w:val="1"/>
      <w:numFmt w:val="bullet"/>
      <w:lvlText w:val=""/>
      <w:lvlJc w:val="left"/>
      <w:pPr>
        <w:ind w:left="7189" w:hanging="360"/>
      </w:pPr>
      <w:rPr>
        <w:rFonts w:ascii="Wingdings" w:hAnsi="Wingdings" w:hint="default"/>
      </w:rPr>
    </w:lvl>
  </w:abstractNum>
  <w:abstractNum w:abstractNumId="27">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B558A5"/>
    <w:multiLevelType w:val="hybridMultilevel"/>
    <w:tmpl w:val="7A26662C"/>
    <w:lvl w:ilvl="0" w:tplc="65308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F31763F"/>
    <w:multiLevelType w:val="hybridMultilevel"/>
    <w:tmpl w:val="1CD0A028"/>
    <w:lvl w:ilvl="0" w:tplc="BE10205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5"/>
  </w:num>
  <w:num w:numId="3">
    <w:abstractNumId w:val="0"/>
  </w:num>
  <w:num w:numId="4">
    <w:abstractNumId w:val="36"/>
  </w:num>
  <w:num w:numId="5">
    <w:abstractNumId w:val="24"/>
  </w:num>
  <w:num w:numId="6">
    <w:abstractNumId w:val="16"/>
  </w:num>
  <w:num w:numId="7">
    <w:abstractNumId w:val="17"/>
  </w:num>
  <w:num w:numId="8">
    <w:abstractNumId w:val="6"/>
  </w:num>
  <w:num w:numId="9">
    <w:abstractNumId w:val="4"/>
  </w:num>
  <w:num w:numId="10">
    <w:abstractNumId w:val="32"/>
  </w:num>
  <w:num w:numId="11">
    <w:abstractNumId w:val="10"/>
  </w:num>
  <w:num w:numId="12">
    <w:abstractNumId w:val="1"/>
  </w:num>
  <w:num w:numId="13">
    <w:abstractNumId w:val="30"/>
  </w:num>
  <w:num w:numId="14">
    <w:abstractNumId w:val="5"/>
  </w:num>
  <w:num w:numId="15">
    <w:abstractNumId w:val="41"/>
  </w:num>
  <w:num w:numId="16">
    <w:abstractNumId w:val="25"/>
  </w:num>
  <w:num w:numId="17">
    <w:abstractNumId w:val="37"/>
  </w:num>
  <w:num w:numId="18">
    <w:abstractNumId w:val="34"/>
  </w:num>
  <w:num w:numId="19">
    <w:abstractNumId w:val="11"/>
  </w:num>
  <w:num w:numId="20">
    <w:abstractNumId w:val="18"/>
  </w:num>
  <w:num w:numId="21">
    <w:abstractNumId w:val="38"/>
  </w:num>
  <w:num w:numId="22">
    <w:abstractNumId w:val="13"/>
  </w:num>
  <w:num w:numId="23">
    <w:abstractNumId w:val="40"/>
  </w:num>
  <w:num w:numId="24">
    <w:abstractNumId w:val="23"/>
  </w:num>
  <w:num w:numId="25">
    <w:abstractNumId w:val="19"/>
  </w:num>
  <w:num w:numId="26">
    <w:abstractNumId w:val="20"/>
  </w:num>
  <w:num w:numId="27">
    <w:abstractNumId w:val="14"/>
  </w:num>
  <w:num w:numId="28">
    <w:abstractNumId w:val="2"/>
  </w:num>
  <w:num w:numId="29">
    <w:abstractNumId w:val="8"/>
  </w:num>
  <w:num w:numId="30">
    <w:abstractNumId w:val="29"/>
  </w:num>
  <w:num w:numId="31">
    <w:abstractNumId w:val="31"/>
  </w:num>
  <w:num w:numId="32">
    <w:abstractNumId w:val="9"/>
  </w:num>
  <w:num w:numId="33">
    <w:abstractNumId w:val="4"/>
  </w:num>
  <w:num w:numId="34">
    <w:abstractNumId w:val="3"/>
  </w:num>
  <w:num w:numId="35">
    <w:abstractNumId w:val="15"/>
  </w:num>
  <w:num w:numId="36">
    <w:abstractNumId w:val="21"/>
  </w:num>
  <w:num w:numId="37">
    <w:abstractNumId w:val="27"/>
  </w:num>
  <w:num w:numId="38">
    <w:abstractNumId w:val="12"/>
  </w:num>
  <w:num w:numId="39">
    <w:abstractNumId w:val="26"/>
  </w:num>
  <w:num w:numId="40">
    <w:abstractNumId w:val="28"/>
  </w:num>
  <w:num w:numId="41">
    <w:abstractNumId w:val="7"/>
  </w:num>
  <w:num w:numId="42">
    <w:abstractNumId w:val="33"/>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2E68"/>
    <w:rsid w:val="00025430"/>
    <w:rsid w:val="00040584"/>
    <w:rsid w:val="00054526"/>
    <w:rsid w:val="00054B49"/>
    <w:rsid w:val="000706C8"/>
    <w:rsid w:val="00070C53"/>
    <w:rsid w:val="000720BF"/>
    <w:rsid w:val="000816E9"/>
    <w:rsid w:val="000849F6"/>
    <w:rsid w:val="000873AF"/>
    <w:rsid w:val="00094A1E"/>
    <w:rsid w:val="000975FD"/>
    <w:rsid w:val="000B751C"/>
    <w:rsid w:val="000D0D58"/>
    <w:rsid w:val="000D4034"/>
    <w:rsid w:val="000E0643"/>
    <w:rsid w:val="000E6D5D"/>
    <w:rsid w:val="001067B0"/>
    <w:rsid w:val="00110570"/>
    <w:rsid w:val="00131F7B"/>
    <w:rsid w:val="00137FF9"/>
    <w:rsid w:val="00146CF9"/>
    <w:rsid w:val="00160B20"/>
    <w:rsid w:val="001628E4"/>
    <w:rsid w:val="00162C73"/>
    <w:rsid w:val="00164EBB"/>
    <w:rsid w:val="00166BA8"/>
    <w:rsid w:val="00172531"/>
    <w:rsid w:val="00174654"/>
    <w:rsid w:val="00181394"/>
    <w:rsid w:val="001955EA"/>
    <w:rsid w:val="00197ADA"/>
    <w:rsid w:val="001A50EB"/>
    <w:rsid w:val="001B0018"/>
    <w:rsid w:val="001B639B"/>
    <w:rsid w:val="001B7D97"/>
    <w:rsid w:val="001D7B78"/>
    <w:rsid w:val="001E7F9B"/>
    <w:rsid w:val="001F5FAA"/>
    <w:rsid w:val="001F6A0D"/>
    <w:rsid w:val="00206D26"/>
    <w:rsid w:val="002123B7"/>
    <w:rsid w:val="002133CF"/>
    <w:rsid w:val="002178E5"/>
    <w:rsid w:val="002405DB"/>
    <w:rsid w:val="00247CE2"/>
    <w:rsid w:val="00267C71"/>
    <w:rsid w:val="002739D7"/>
    <w:rsid w:val="00273C91"/>
    <w:rsid w:val="00286802"/>
    <w:rsid w:val="00290841"/>
    <w:rsid w:val="00290F80"/>
    <w:rsid w:val="00293CED"/>
    <w:rsid w:val="002A2F7F"/>
    <w:rsid w:val="002A71BB"/>
    <w:rsid w:val="002D3263"/>
    <w:rsid w:val="002E09FC"/>
    <w:rsid w:val="002E1AF2"/>
    <w:rsid w:val="002E233D"/>
    <w:rsid w:val="002E361A"/>
    <w:rsid w:val="002E7BE3"/>
    <w:rsid w:val="002F3B40"/>
    <w:rsid w:val="002F4079"/>
    <w:rsid w:val="002F4303"/>
    <w:rsid w:val="00314599"/>
    <w:rsid w:val="003172FD"/>
    <w:rsid w:val="00323154"/>
    <w:rsid w:val="003602B9"/>
    <w:rsid w:val="00361C40"/>
    <w:rsid w:val="00370DA0"/>
    <w:rsid w:val="00371A77"/>
    <w:rsid w:val="00386C1D"/>
    <w:rsid w:val="00394A2D"/>
    <w:rsid w:val="003A1491"/>
    <w:rsid w:val="003A4EAE"/>
    <w:rsid w:val="003A66F0"/>
    <w:rsid w:val="003B63D9"/>
    <w:rsid w:val="003B6E55"/>
    <w:rsid w:val="003F3409"/>
    <w:rsid w:val="003F5D5E"/>
    <w:rsid w:val="00405213"/>
    <w:rsid w:val="00406E15"/>
    <w:rsid w:val="0042675E"/>
    <w:rsid w:val="00436A7B"/>
    <w:rsid w:val="0044092B"/>
    <w:rsid w:val="00440B27"/>
    <w:rsid w:val="00446BD3"/>
    <w:rsid w:val="00447158"/>
    <w:rsid w:val="00454703"/>
    <w:rsid w:val="00461AC6"/>
    <w:rsid w:val="00462FB8"/>
    <w:rsid w:val="00473696"/>
    <w:rsid w:val="00475424"/>
    <w:rsid w:val="00475B0F"/>
    <w:rsid w:val="00484305"/>
    <w:rsid w:val="004857A5"/>
    <w:rsid w:val="00490044"/>
    <w:rsid w:val="00490B5F"/>
    <w:rsid w:val="004C535D"/>
    <w:rsid w:val="004D4369"/>
    <w:rsid w:val="004D5ABD"/>
    <w:rsid w:val="004F5684"/>
    <w:rsid w:val="004F5957"/>
    <w:rsid w:val="0050227B"/>
    <w:rsid w:val="005060D9"/>
    <w:rsid w:val="00513275"/>
    <w:rsid w:val="00517937"/>
    <w:rsid w:val="00520C8B"/>
    <w:rsid w:val="00520DFB"/>
    <w:rsid w:val="00523D4D"/>
    <w:rsid w:val="005324BD"/>
    <w:rsid w:val="00541B5C"/>
    <w:rsid w:val="00560114"/>
    <w:rsid w:val="00561201"/>
    <w:rsid w:val="005671B0"/>
    <w:rsid w:val="00576F38"/>
    <w:rsid w:val="0058376C"/>
    <w:rsid w:val="00583C57"/>
    <w:rsid w:val="0058551C"/>
    <w:rsid w:val="005A2C32"/>
    <w:rsid w:val="005B2033"/>
    <w:rsid w:val="005B33E0"/>
    <w:rsid w:val="005B52FC"/>
    <w:rsid w:val="005D5CC9"/>
    <w:rsid w:val="005E0053"/>
    <w:rsid w:val="005E0411"/>
    <w:rsid w:val="005E15AE"/>
    <w:rsid w:val="005E4B61"/>
    <w:rsid w:val="005F2021"/>
    <w:rsid w:val="005F4520"/>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39C9"/>
    <w:rsid w:val="006761D4"/>
    <w:rsid w:val="006805C0"/>
    <w:rsid w:val="00681572"/>
    <w:rsid w:val="0068434B"/>
    <w:rsid w:val="006A3151"/>
    <w:rsid w:val="006B3376"/>
    <w:rsid w:val="006C2B74"/>
    <w:rsid w:val="006D1863"/>
    <w:rsid w:val="006D2A12"/>
    <w:rsid w:val="006D5136"/>
    <w:rsid w:val="006E17AE"/>
    <w:rsid w:val="006E68F5"/>
    <w:rsid w:val="006F67F1"/>
    <w:rsid w:val="007002CF"/>
    <w:rsid w:val="00703494"/>
    <w:rsid w:val="00724773"/>
    <w:rsid w:val="00725E32"/>
    <w:rsid w:val="00756A4A"/>
    <w:rsid w:val="0076000E"/>
    <w:rsid w:val="00767F79"/>
    <w:rsid w:val="0077011C"/>
    <w:rsid w:val="007773F0"/>
    <w:rsid w:val="00783926"/>
    <w:rsid w:val="00791F29"/>
    <w:rsid w:val="0079316A"/>
    <w:rsid w:val="007A52A3"/>
    <w:rsid w:val="007A5716"/>
    <w:rsid w:val="007A74B7"/>
    <w:rsid w:val="007B0276"/>
    <w:rsid w:val="007B0E21"/>
    <w:rsid w:val="007B2ABB"/>
    <w:rsid w:val="007B785F"/>
    <w:rsid w:val="007F0633"/>
    <w:rsid w:val="007F13F1"/>
    <w:rsid w:val="007F5E19"/>
    <w:rsid w:val="00806E31"/>
    <w:rsid w:val="00821198"/>
    <w:rsid w:val="00821D87"/>
    <w:rsid w:val="0082331E"/>
    <w:rsid w:val="00827699"/>
    <w:rsid w:val="0082776F"/>
    <w:rsid w:val="008462D8"/>
    <w:rsid w:val="00846D04"/>
    <w:rsid w:val="00847CBC"/>
    <w:rsid w:val="008555D2"/>
    <w:rsid w:val="00855F6D"/>
    <w:rsid w:val="00857290"/>
    <w:rsid w:val="00870FD5"/>
    <w:rsid w:val="008764EC"/>
    <w:rsid w:val="0087757D"/>
    <w:rsid w:val="00877711"/>
    <w:rsid w:val="00895EDE"/>
    <w:rsid w:val="008A35A5"/>
    <w:rsid w:val="008E1E54"/>
    <w:rsid w:val="008F02F1"/>
    <w:rsid w:val="008F22C7"/>
    <w:rsid w:val="008F5B17"/>
    <w:rsid w:val="00903006"/>
    <w:rsid w:val="00903AC5"/>
    <w:rsid w:val="00906444"/>
    <w:rsid w:val="0092762C"/>
    <w:rsid w:val="00931BA3"/>
    <w:rsid w:val="00932ACD"/>
    <w:rsid w:val="00933F50"/>
    <w:rsid w:val="009376FF"/>
    <w:rsid w:val="00937BB0"/>
    <w:rsid w:val="0094050C"/>
    <w:rsid w:val="009409F5"/>
    <w:rsid w:val="00940FBA"/>
    <w:rsid w:val="0094223A"/>
    <w:rsid w:val="00944798"/>
    <w:rsid w:val="00945BAA"/>
    <w:rsid w:val="0095463D"/>
    <w:rsid w:val="00956118"/>
    <w:rsid w:val="00973F0A"/>
    <w:rsid w:val="0098141E"/>
    <w:rsid w:val="00981B4D"/>
    <w:rsid w:val="009A6F73"/>
    <w:rsid w:val="009B0D70"/>
    <w:rsid w:val="009B0E3B"/>
    <w:rsid w:val="009B1953"/>
    <w:rsid w:val="009D0611"/>
    <w:rsid w:val="009D154B"/>
    <w:rsid w:val="009D4506"/>
    <w:rsid w:val="009E774F"/>
    <w:rsid w:val="009E7757"/>
    <w:rsid w:val="00A02CDA"/>
    <w:rsid w:val="00A0549C"/>
    <w:rsid w:val="00A17BD5"/>
    <w:rsid w:val="00A22450"/>
    <w:rsid w:val="00A2251F"/>
    <w:rsid w:val="00A26A61"/>
    <w:rsid w:val="00A34126"/>
    <w:rsid w:val="00A343CC"/>
    <w:rsid w:val="00A4456F"/>
    <w:rsid w:val="00A61E60"/>
    <w:rsid w:val="00A67518"/>
    <w:rsid w:val="00A67C9A"/>
    <w:rsid w:val="00A803E1"/>
    <w:rsid w:val="00A80A00"/>
    <w:rsid w:val="00A82BB0"/>
    <w:rsid w:val="00A9105A"/>
    <w:rsid w:val="00A96328"/>
    <w:rsid w:val="00A969B0"/>
    <w:rsid w:val="00A96CDF"/>
    <w:rsid w:val="00AB0BE0"/>
    <w:rsid w:val="00AC4317"/>
    <w:rsid w:val="00AC43B4"/>
    <w:rsid w:val="00AC6316"/>
    <w:rsid w:val="00AE0FDF"/>
    <w:rsid w:val="00AE4BF8"/>
    <w:rsid w:val="00AF50BA"/>
    <w:rsid w:val="00B000AB"/>
    <w:rsid w:val="00B155D3"/>
    <w:rsid w:val="00B55F6A"/>
    <w:rsid w:val="00B66E50"/>
    <w:rsid w:val="00B74A57"/>
    <w:rsid w:val="00B770F1"/>
    <w:rsid w:val="00B77160"/>
    <w:rsid w:val="00B951AB"/>
    <w:rsid w:val="00BB6AD8"/>
    <w:rsid w:val="00BC1F52"/>
    <w:rsid w:val="00BC3B99"/>
    <w:rsid w:val="00BC4DE4"/>
    <w:rsid w:val="00BD3561"/>
    <w:rsid w:val="00BD48F6"/>
    <w:rsid w:val="00BE42D2"/>
    <w:rsid w:val="00BF36E1"/>
    <w:rsid w:val="00C07AC5"/>
    <w:rsid w:val="00C11F25"/>
    <w:rsid w:val="00C171A1"/>
    <w:rsid w:val="00C266B6"/>
    <w:rsid w:val="00C30B8A"/>
    <w:rsid w:val="00C30DD4"/>
    <w:rsid w:val="00C51483"/>
    <w:rsid w:val="00C546AC"/>
    <w:rsid w:val="00C55616"/>
    <w:rsid w:val="00C64A83"/>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11AA8"/>
    <w:rsid w:val="00D34230"/>
    <w:rsid w:val="00D43B18"/>
    <w:rsid w:val="00D478AB"/>
    <w:rsid w:val="00D511D6"/>
    <w:rsid w:val="00D5462F"/>
    <w:rsid w:val="00D549F5"/>
    <w:rsid w:val="00D54EE2"/>
    <w:rsid w:val="00D62F6F"/>
    <w:rsid w:val="00D6675C"/>
    <w:rsid w:val="00D748E2"/>
    <w:rsid w:val="00D831A4"/>
    <w:rsid w:val="00D934FF"/>
    <w:rsid w:val="00DA34E0"/>
    <w:rsid w:val="00DC395A"/>
    <w:rsid w:val="00DC5DDB"/>
    <w:rsid w:val="00DE0D61"/>
    <w:rsid w:val="00DE1A42"/>
    <w:rsid w:val="00DE4BD3"/>
    <w:rsid w:val="00DF3E48"/>
    <w:rsid w:val="00DF401F"/>
    <w:rsid w:val="00DF6112"/>
    <w:rsid w:val="00E00460"/>
    <w:rsid w:val="00E056D0"/>
    <w:rsid w:val="00E14705"/>
    <w:rsid w:val="00E22C74"/>
    <w:rsid w:val="00E255FB"/>
    <w:rsid w:val="00E33A93"/>
    <w:rsid w:val="00E358BA"/>
    <w:rsid w:val="00E469B9"/>
    <w:rsid w:val="00E53F29"/>
    <w:rsid w:val="00E54DD9"/>
    <w:rsid w:val="00E556F3"/>
    <w:rsid w:val="00E757B8"/>
    <w:rsid w:val="00E83B9C"/>
    <w:rsid w:val="00E8517F"/>
    <w:rsid w:val="00E879C0"/>
    <w:rsid w:val="00E93087"/>
    <w:rsid w:val="00EA081B"/>
    <w:rsid w:val="00EB33A7"/>
    <w:rsid w:val="00EB3958"/>
    <w:rsid w:val="00EB58E5"/>
    <w:rsid w:val="00EB7C8C"/>
    <w:rsid w:val="00EE18DC"/>
    <w:rsid w:val="00EE2024"/>
    <w:rsid w:val="00EE525A"/>
    <w:rsid w:val="00EF1227"/>
    <w:rsid w:val="00EF2CEA"/>
    <w:rsid w:val="00F0048C"/>
    <w:rsid w:val="00F01256"/>
    <w:rsid w:val="00F11973"/>
    <w:rsid w:val="00F23056"/>
    <w:rsid w:val="00F256C5"/>
    <w:rsid w:val="00F32282"/>
    <w:rsid w:val="00F34CA6"/>
    <w:rsid w:val="00F40835"/>
    <w:rsid w:val="00F613FE"/>
    <w:rsid w:val="00F77A66"/>
    <w:rsid w:val="00F8032F"/>
    <w:rsid w:val="00F921F7"/>
    <w:rsid w:val="00F961EF"/>
    <w:rsid w:val="00F97F6F"/>
    <w:rsid w:val="00FA5950"/>
    <w:rsid w:val="00FB3C44"/>
    <w:rsid w:val="00FB443D"/>
    <w:rsid w:val="00FC1A6B"/>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F961EF"/>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8">
    <w:name w:val="No Spacing"/>
    <w:uiPriority w:val="1"/>
    <w:qFormat/>
    <w:rsid w:val="00440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295723202">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47036672">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846136811">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5BA53-D09F-4D1A-962B-B4677128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19</Pages>
  <Words>5623</Words>
  <Characters>32054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22</cp:revision>
  <cp:lastPrinted>2023-09-01T10:02:00Z</cp:lastPrinted>
  <dcterms:created xsi:type="dcterms:W3CDTF">2023-08-09T05:50:00Z</dcterms:created>
  <dcterms:modified xsi:type="dcterms:W3CDTF">2023-09-21T06:24:00Z</dcterms:modified>
</cp:coreProperties>
</file>